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6"/>
          <w:szCs w:val="46"/>
        </w:rPr>
        <w:t xml:space="preserve">Documento de diseño</w:t>
      </w:r>
    </w:p>
    <w:p>
      <w:pPr>
        <w:pBdr>
          <w:bottom w:val="single" w:color="1F4E79" w:sz="12" w:space="6"/>
        </w:pBdr>
        <w:spacing w:after="60"/>
      </w:pPr>
      <w:r>
        <w:rPr>
          <w:color w:val="444444"/>
          <w:sz w:val="24"/>
          <w:szCs w:val="24"/>
        </w:rPr>
        <w:t xml:space="preserve">Automatización de carga de solicitudes financieras (PDF → validación → web)</w:t>
      </w:r>
    </w:p>
    <w:p>
      <w:pPr>
        <w:spacing w:after="120" w:line="278"/>
      </w:pPr>
      <w:r>
        <w:t xml:space="preserve">Este documento describe el diseño completo de un sistema para automatizar una tarea de data entry que hoy se hace a mano: tomar un PDF con datos de miles de clientes, validarlos, y cargarlos en un formulario web. Está pensado para que quien vaya a construirlo entienda el porqué de cada decisión, no solo el qué. Al final está lo que </w:t>
      </w:r>
      <w:r>
        <w:rPr>
          <w:i/>
          <w:iCs/>
        </w:rPr>
        <w:t xml:space="preserve">todavía falta definir</w:t>
      </w:r>
      <w:r>
        <w:t xml:space="preserve">, que son pocas cosas y todas dependen de tener acceso a la web.</w:t>
      </w:r>
    </w:p>
    <w:p>
      <w:pPr>
        <w:pBdr>
          <w:top w:val="single" w:color="1F4E79" w:sz="4" w:space="6"/>
          <w:bottom w:val="single" w:color="1F4E79" w:sz="4" w:space="6"/>
          <w:left w:val="single" w:color="1F4E79" w:sz="4" w:space="6"/>
          <w:right w:val="single" w:color="1F4E79" w:sz="4" w:space="6"/>
        </w:pBdr>
        <w:shd w:fill="FFF8E1" w:val="clear"/>
        <w:spacing w:after="140" w:before="140" w:line="278"/>
      </w:pPr>
      <w:r>
        <w:rPr>
          <w:b/>
          <w:bCs/>
        </w:rPr>
        <w:t xml:space="preserve">Estado del proyecto: </w:t>
      </w:r>
      <w:r>
        <w:t xml:space="preserve">el diseño está cerrado salvo una pieza (cómo se llega desde el cliente a su solicitud en la web) y tres confirmaciones menores. Nada de eso bloquea empezar a construir la parte de lectura y validación del PDF, que es independiente de la web. Ver la sección </w:t>
      </w:r>
      <w:r>
        <w:rPr>
          <w:i/>
          <w:iCs/>
        </w:rPr>
        <w:t xml:space="preserve">Lo que falta definir</w:t>
      </w:r>
      <w:r>
        <w:t xml:space="preserve">.</w:t>
      </w:r>
    </w:p>
    <w:p>
      <w:pPr>
        <w:pStyle w:val="Heading1"/>
        <w:spacing w:after="140" w:before="340"/>
      </w:pPr>
      <w:r>
        <w:rPr>
          <w:b/>
          <w:bCs/>
          <w:color w:val="1F4E79"/>
        </w:rPr>
        <w:t xml:space="preserve">1. El problema en una frase</w:t>
      </w:r>
    </w:p>
    <w:p>
      <w:pPr>
        <w:spacing w:after="120" w:line="278"/>
      </w:pPr>
      <w:r>
        <w:t xml:space="preserve">Una persona recibe un PDF (un “lote”) con el resumen de actividad de ~1200 clientes y tiene que cargar, para cada uno, sus datos financieros en un sistema web, fila por fila, a mano. Es lento y propenso a errores. La idea es automatizarlo priorizando la confiabilidad y la detección de errores por encima de la velocidad: no importa que tarde, importa que no cargue nada mal sin avisar.</w:t>
      </w:r>
    </w:p>
    <w:p>
      <w:pPr>
        <w:pStyle w:val="Heading1"/>
        <w:spacing w:after="140" w:before="340"/>
      </w:pPr>
      <w:r>
        <w:rPr>
          <w:b/>
          <w:bCs/>
          <w:color w:val="1F4E79"/>
        </w:rPr>
        <w:t xml:space="preserve">2. Cómo es el PDF de entrada</w:t>
      </w:r>
    </w:p>
    <w:p>
      <w:pPr>
        <w:spacing w:after="120" w:line="278"/>
      </w:pPr>
      <w:r>
        <w:t xml:space="preserve">El punto clave que cambió todo el enfoque inicial: el PDF NO es una tabla plana. Son ~1200 fichas, una por cliente, y cada ficha es un mini-informe con estructura propia.</w:t>
      </w:r>
    </w:p>
    <w:p>
      <w:pPr>
        <w:spacing w:after="120" w:line="278"/>
      </w:pPr>
      <w:r>
        <w:t xml:space="preserve">Cada ficha de cliente tiene:</w:t>
      </w:r>
    </w:p>
    <w:p>
      <w:pPr>
        <w:pStyle w:val="ListParagraph"/>
        <w:numPr>
          <w:ilvl w:val="0"/>
          <w:numId w:val="2"/>
        </w:numPr>
        <w:spacing w:after="70" w:line="276"/>
      </w:pPr>
      <w:r>
        <w:rPr>
          <w:b/>
          <w:bCs/>
        </w:rPr>
        <w:t xml:space="preserve">Un encabezado: </w:t>
      </w:r>
      <w:r>
        <w:t xml:space="preserve">Cliente: NOMBRE (CUIT: XXXXXXXXXXX) y una fecha de emisión.</w:t>
      </w:r>
    </w:p>
    <w:p>
      <w:pPr>
        <w:pStyle w:val="ListParagraph"/>
        <w:numPr>
          <w:ilvl w:val="0"/>
          <w:numId w:val="2"/>
        </w:numPr>
        <w:spacing w:after="70" w:line="276"/>
      </w:pPr>
      <w:r>
        <w:rPr>
          <w:b/>
          <w:bCs/>
        </w:rPr>
        <w:t xml:space="preserve">Sección “1. Solicitudes de Referencia”: </w:t>
      </w:r>
      <w:r>
        <w:t xml:space="preserve">o dice “No hay…”, o trae una tabla de 12 columnas (Fecha, Informante, ¿Es cliente?, Crédito Otorgado $, Crédito Tomado $, Otorgado USD, Tomado USD, Condición de venta, Plazo, Concepto, Antigüedad, Inactivo).</w:t>
      </w:r>
    </w:p>
    <w:p>
      <w:pPr>
        <w:pStyle w:val="ListParagraph"/>
        <w:numPr>
          <w:ilvl w:val="0"/>
          <w:numId w:val="2"/>
        </w:numPr>
        <w:spacing w:after="70" w:line="276"/>
      </w:pPr>
      <w:r>
        <w:rPr>
          <w:b/>
          <w:bCs/>
        </w:rPr>
        <w:t xml:space="preserve">Sección “2. Alertas / Denuncias”: </w:t>
      </w:r>
      <w:r>
        <w:t xml:space="preserve">o dice “No hay…”, o trae otra tabla distinta de 6 columnas (Fecha, Alertante, Tipo, Estado, Monto, Comentarios).</w:t>
      </w:r>
    </w:p>
    <w:p>
      <w:pPr>
        <w:spacing w:after="120" w:line="278"/>
      </w:pPr>
      <w:r>
        <w:t xml:space="preserve">Dos detalles que rompen los enfoques ingenuos:</w:t>
      </w:r>
    </w:p>
    <w:p>
      <w:pPr>
        <w:pStyle w:val="ListParagraph"/>
        <w:numPr>
          <w:ilvl w:val="0"/>
          <w:numId w:val="2"/>
        </w:numPr>
        <w:spacing w:after="70" w:line="276"/>
      </w:pPr>
      <w:r>
        <w:rPr>
          <w:b/>
          <w:bCs/>
        </w:rPr>
        <w:t xml:space="preserve">Las fichas se derraman por varias páginas </w:t>
      </w:r>
      <w:r>
        <w:t xml:space="preserve">y las páginas de continuación NO repiten el encabezado del cliente. No se puede procesar página por página de forma aislada: hay que leer el documento entero y cortar por cada encabezado “Cliente:(CUIT:)”, acumulando hasta el próximo.</w:t>
      </w:r>
    </w:p>
    <w:p>
      <w:pPr>
        <w:pStyle w:val="ListParagraph"/>
        <w:numPr>
          <w:ilvl w:val="0"/>
          <w:numId w:val="2"/>
        </w:numPr>
        <w:spacing w:after="70" w:line="276"/>
      </w:pPr>
      <w:r>
        <w:rPr>
          <w:b/>
          <w:bCs/>
        </w:rPr>
        <w:t xml:space="preserve">Cualquiera de las dos secciones puede estar vacía, </w:t>
      </w:r>
      <w:r>
        <w:t xml:space="preserve">y los valores vienen “sucios”: montos como $0 / 23,000 / 45,000 / 1; y la columna Antigüedad mezcla fechas, “N años”, “n/c”, “-”.</w:t>
      </w:r>
    </w:p>
    <w:p>
      <w:pPr>
        <w:spacing w:after="120" w:line="278"/>
      </w:pPr>
      <w:r>
        <w:t xml:space="preserve">Confirmado técnicamente: el PDF es nativo (texto seleccionable, no escaneo), sale de un Chrome exportado a PDF, y la librería </w:t>
      </w:r>
      <w:r>
        <w:rPr>
          <w:rFonts w:ascii="Consolas" w:cs="Consolas" w:eastAsia="Consolas" w:hAnsi="Consolas"/>
          <w:sz w:val="19"/>
          <w:szCs w:val="19"/>
        </w:rPr>
        <w:t xml:space="preserve">pdfplumber</w:t>
      </w:r>
      <w:r>
        <w:t xml:space="preserve"> detecta bien las columnas. La dificultad no está en extraer, está en la estructura anidada.</w:t>
      </w:r>
    </w:p>
    <w:p>
      <w:pPr>
        <w:pStyle w:val="Heading1"/>
        <w:spacing w:after="140" w:before="340"/>
      </w:pPr>
      <w:r>
        <w:rPr>
          <w:b/>
          <w:bCs/>
          <w:color w:val="1F4E79"/>
        </w:rPr>
        <w:t xml:space="preserve">3. Arquitectura del pipeline</w:t>
      </w:r>
    </w:p>
    <w:p>
      <w:pPr>
        <w:spacing w:after="120" w:line="278"/>
      </w:pPr>
      <w:r>
        <w:t xml:space="preserve">El flujo tiene cuatro capas. La regla de oro que atraviesa todo: convertir errores silenciosos en errores ruidosos. Un error ruidoso (algo se rompe, la validación falla) se detecta solo. Un error silencioso (el dato se ve bien pero está mal) es el enemigo, porque al automatizar se pierde el “ojo” humano que antes los atrapaba. Cada red de seguridad del diseño existe para forzar que un dato dudoso se delate.</w:t>
      </w:r>
    </w:p>
    <w:p>
      <w:pPr>
        <w:shd w:fill="F2F2F2" w:val="clear"/>
        <w:spacing w:after="120"/>
      </w:pPr>
      <w:r>
        <w:rPr>
          <w:rFonts w:ascii="Consolas" w:cs="Consolas" w:eastAsia="Consolas" w:hAnsi="Consolas"/>
          <w:sz w:val="19"/>
          <w:szCs w:val="19"/>
        </w:rPr>
        <w:t xml:space="preserve">PDF → parser → clientes.jsonl        (fuente de verdad, anidado)</w:t>
      </w:r>
    </w:p>
    <w:p>
      <w:pPr>
        <w:shd w:fill="F2F2F2" w:val="clear"/>
        <w:spacing w:after="120"/>
      </w:pPr>
      <w:r>
        <w:rPr>
          <w:rFonts w:ascii="Consolas" w:cs="Consolas" w:eastAsia="Consolas" w:hAnsi="Consolas"/>
          <w:sz w:val="19"/>
          <w:szCs w:val="19"/>
        </w:rPr>
        <w:t xml:space="preserve">                   ↓  validación (esquema.py)</w:t>
      </w:r>
    </w:p>
    <w:p>
      <w:pPr>
        <w:shd w:fill="F2F2F2" w:val="clear"/>
        <w:spacing w:after="120"/>
      </w:pPr>
      <w:r>
        <w:rPr>
          <w:rFonts w:ascii="Consolas" w:cs="Consolas" w:eastAsia="Consolas" w:hAnsi="Consolas"/>
          <w:sz w:val="19"/>
          <w:szCs w:val="19"/>
        </w:rPr>
        <w:t xml:space="preserve">        resumen.xlsx / detalle.xlsx / problemas.xlsx   (revisión humana)</w:t>
      </w:r>
    </w:p>
    <w:p>
      <w:pPr>
        <w:shd w:fill="F2F2F2" w:val="clear"/>
        <w:spacing w:after="120"/>
      </w:pPr>
      <w:r>
        <w:rPr>
          <w:rFonts w:ascii="Consolas" w:cs="Consolas" w:eastAsia="Consolas" w:hAnsi="Consolas"/>
          <w:sz w:val="19"/>
          <w:szCs w:val="19"/>
        </w:rPr>
        <w:t xml:space="preserve">                   ↓</w:t>
      </w:r>
    </w:p>
    <w:p>
      <w:pPr>
        <w:shd w:fill="F2F2F2" w:val="clear"/>
        <w:spacing w:after="120"/>
      </w:pPr>
      <w:r>
        <w:rPr>
          <w:rFonts w:ascii="Consolas" w:cs="Consolas" w:eastAsia="Consolas" w:hAnsi="Consolas"/>
          <w:sz w:val="19"/>
          <w:szCs w:val="19"/>
        </w:rPr>
        <w:t xml:space="preserve">        carga web (Playwright), estado en SQLite, idempotente</w:t>
      </w:r>
    </w:p>
    <w:p>
      <w:pPr>
        <w:pStyle w:val="Heading2"/>
        <w:spacing w:after="100" w:before="220"/>
      </w:pPr>
      <w:r>
        <w:rPr>
          <w:b/>
          <w:bCs/>
          <w:color w:val="444444"/>
        </w:rPr>
        <w:t xml:space="preserve">3.1. Extracción</w:t>
      </w:r>
    </w:p>
    <w:p>
      <w:pPr>
        <w:spacing w:after="120" w:line="278"/>
      </w:pPr>
      <w:r>
        <w:t xml:space="preserve">Streamear el PDF, cortar por el encabezado del cliente, y para cada ficha armar diccionarios crudos (las filas de las dos tablas) que alimentan la validación.</w:t>
      </w:r>
    </w:p>
    <w:p>
      <w:pPr>
        <w:pStyle w:val="Heading2"/>
        <w:spacing w:after="100" w:before="220"/>
      </w:pPr>
      <w:r>
        <w:rPr>
          <w:b/>
          <w:bCs/>
          <w:color w:val="444444"/>
        </w:rPr>
        <w:t xml:space="preserve">3.2. Intermedio: JSON como verdad, Excel como espejo</w:t>
      </w:r>
    </w:p>
    <w:p>
      <w:pPr>
        <w:spacing w:after="120" w:line="278"/>
      </w:pPr>
      <w:r>
        <w:t xml:space="preserve">Decisión importante: el dato es anidado, así que la fuente de verdad es JSONL (un cliente por línea). El Excel NO es la fuente: es una vista derivada que se GENERA desde el JSON para que un humano revise. Las correcciones no vuelven editando el Excel (eso rompería la repetibilidad); si algo está mal se corrige la regla en el parser y se vuelve a correr. El Excel es un espejo desechable que se regenera en cada corrida.</w:t>
      </w:r>
    </w:p>
    <w:p>
      <w:pPr>
        <w:spacing w:after="120" w:line="278"/>
      </w:pPr>
      <w:r>
        <w:t xml:space="preserve">Se generan tres vistas:</w:t>
      </w:r>
    </w:p>
    <w:p>
      <w:pPr>
        <w:pStyle w:val="ListParagraph"/>
        <w:numPr>
          <w:ilvl w:val="0"/>
          <w:numId w:val="2"/>
        </w:numPr>
        <w:spacing w:after="70" w:line="276"/>
      </w:pPr>
      <w:r>
        <w:rPr>
          <w:b/>
          <w:bCs/>
        </w:rPr>
        <w:t xml:space="preserve">resumen: </w:t>
      </w:r>
      <w:r>
        <w:t xml:space="preserve">una fila por cliente con conteos. Para escanear 1200 de un vistazo y detectar anomalías (0 registros, cantidades inusuales).</w:t>
      </w:r>
    </w:p>
    <w:p>
      <w:pPr>
        <w:pStyle w:val="ListParagraph"/>
        <w:numPr>
          <w:ilvl w:val="0"/>
          <w:numId w:val="2"/>
        </w:numPr>
        <w:spacing w:after="70" w:line="276"/>
      </w:pPr>
      <w:r>
        <w:rPr>
          <w:b/>
          <w:bCs/>
        </w:rPr>
        <w:t xml:space="preserve">detalle: </w:t>
      </w:r>
      <w:r>
        <w:t xml:space="preserve">referencias y alertas aplanadas, con el CUIT como clave, para mirar un cliente puntual.</w:t>
      </w:r>
    </w:p>
    <w:p>
      <w:pPr>
        <w:pStyle w:val="ListParagraph"/>
        <w:numPr>
          <w:ilvl w:val="0"/>
          <w:numId w:val="2"/>
        </w:numPr>
        <w:spacing w:after="70" w:line="276"/>
      </w:pPr>
      <w:r>
        <w:rPr>
          <w:b/>
          <w:bCs/>
        </w:rPr>
        <w:t xml:space="preserve">problemas: </w:t>
      </w:r>
      <w:r>
        <w:t xml:space="preserve">solo lo que falló validación o disparó una heurística. Es lo único que se revisa a volumen.</w:t>
      </w:r>
    </w:p>
    <w:p>
      <w:pPr>
        <w:pStyle w:val="Heading2"/>
        <w:spacing w:after="100" w:before="220"/>
      </w:pPr>
      <w:r>
        <w:rPr>
          <w:b/>
          <w:bCs/>
          <w:color w:val="444444"/>
        </w:rPr>
        <w:t xml:space="preserve">3.3. Validación y normalización</w:t>
      </w:r>
    </w:p>
    <w:p>
      <w:pPr>
        <w:spacing w:after="120" w:line="278"/>
      </w:pPr>
      <w:r>
        <w:t xml:space="preserve">Ya está implementada en el archivo </w:t>
      </w:r>
      <w:r>
        <w:rPr>
          <w:rFonts w:ascii="Consolas" w:cs="Consolas" w:eastAsia="Consolas" w:hAnsi="Consolas"/>
          <w:b/>
          <w:bCs/>
          <w:sz w:val="19"/>
          <w:szCs w:val="19"/>
        </w:rPr>
        <w:t xml:space="preserve">esquema.py</w:t>
      </w:r>
      <w:r>
        <w:t xml:space="preserve"> (entregado aparte). Usa Pydantic. Reglas que ya quedaron definidas y probadas:</w:t>
      </w:r>
    </w:p>
    <w:p>
      <w:pPr>
        <w:pStyle w:val="ListParagraph"/>
        <w:numPr>
          <w:ilvl w:val="0"/>
          <w:numId w:val="2"/>
        </w:numPr>
        <w:spacing w:after="70" w:line="276"/>
      </w:pPr>
      <w:r>
        <w:rPr>
          <w:b/>
          <w:bCs/>
        </w:rPr>
        <w:t xml:space="preserve">Antigüedad</w:t>
      </w:r>
      <w:r>
        <w:t xml:space="preserve"> se resuelve con un matcher de prioridad (gana el primer patrón que matchea): fecha completa d/m/aaaa; m/aaaa (día=01); m/aa (día=01, siglo por pivote); año solo (→ 01/07/aaaa); “N meses/años” (se resta a la fecha de emisión); número solo (→ N años).</w:t>
      </w:r>
    </w:p>
    <w:p>
      <w:pPr>
        <w:pBdr>
          <w:top w:val="single" w:color="1F4E79" w:sz="4" w:space="6"/>
          <w:bottom w:val="single" w:color="1F4E79" w:sz="4" w:space="6"/>
          <w:left w:val="single" w:color="1F4E79" w:sz="4" w:space="6"/>
          <w:right w:val="single" w:color="1F4E79" w:sz="4" w:space="6"/>
        </w:pBdr>
        <w:shd w:fill="EEF3FA" w:val="clear"/>
        <w:spacing w:after="140" w:before="140" w:line="278"/>
      </w:pPr>
      <w:r>
        <w:rPr>
          <w:b/>
          <w:bCs/>
        </w:rPr>
        <w:t xml:space="preserve">Decisión clave de determinismo: </w:t>
      </w:r>
      <w:r>
        <w:t xml:space="preserve">los valores relativos (“2 meses”, “1 año”) se anclan a la FECHA DE EMISIÓN del PDF, no a la fecha de hoy. Así el mismo PDF da siempre el mismo resultado, se corra cuando se corra. Si se anclara a “hoy”, el resultado cambiaría cada día y se rompería la repetibilidad.</w:t>
      </w:r>
    </w:p>
    <w:p>
      <w:pPr>
        <w:pStyle w:val="ListParagraph"/>
        <w:numPr>
          <w:ilvl w:val="0"/>
          <w:numId w:val="2"/>
        </w:numPr>
        <w:spacing w:after="70" w:line="276"/>
      </w:pPr>
      <w:r>
        <w:rPr>
          <w:b/>
          <w:bCs/>
        </w:rPr>
        <w:t xml:space="preserve">Plazo</w:t>
      </w:r>
      <w:r>
        <w:t xml:space="preserve">: válido de 0 a 90 (son cuotas). Basura (no numérico o fuera de rango, ej. “3060”) → el campo queda vacío y la fila va a problemas para revisar, pero igual se carga.</w:t>
      </w:r>
    </w:p>
    <w:p>
      <w:pPr>
        <w:pStyle w:val="ListParagraph"/>
        <w:numPr>
          <w:ilvl w:val="0"/>
          <w:numId w:val="2"/>
        </w:numPr>
        <w:spacing w:after="70" w:line="276"/>
      </w:pPr>
      <w:r>
        <w:rPr>
          <w:b/>
          <w:bCs/>
        </w:rPr>
        <w:t xml:space="preserve">Inactivo = “Sí”</w:t>
      </w:r>
      <w:r>
        <w:t xml:space="preserve">: esa fila de referencia se descarta entera (no va al output). Es una exclusión legítima, no un error; se cuenta aparte para reconciliar.</w:t>
      </w:r>
    </w:p>
    <w:p>
      <w:pPr>
        <w:pStyle w:val="ListParagraph"/>
        <w:numPr>
          <w:ilvl w:val="0"/>
          <w:numId w:val="2"/>
        </w:numPr>
        <w:spacing w:after="70" w:line="276"/>
      </w:pPr>
      <w:r>
        <w:rPr>
          <w:b/>
          <w:bCs/>
        </w:rPr>
        <w:t xml:space="preserve">CUIT</w:t>
      </w:r>
      <w:r>
        <w:t xml:space="preserve">: es la clave del cliente y tiene dígito verificador (se valida con checksum). Un CUIT inválido no rompe ni bloquea: se carga igual y se marca en problemas, para que un cliente nunca desaparezca en silencio.</w:t>
      </w:r>
    </w:p>
    <w:p>
      <w:pPr>
        <w:pStyle w:val="ListParagraph"/>
        <w:numPr>
          <w:ilvl w:val="0"/>
          <w:numId w:val="2"/>
        </w:numPr>
        <w:spacing w:after="70" w:line="276"/>
      </w:pPr>
      <w:r>
        <w:rPr>
          <w:b/>
          <w:bCs/>
        </w:rPr>
        <w:t xml:space="preserve">Montos</w:t>
      </w:r>
      <w:r>
        <w:t xml:space="preserve">: la coma es separador de miles y el punto es decimal (23,000 → 23000; 10044.71 → 10044.71). A confirmar contra más páginas por si aparece otra convención.</w:t>
      </w:r>
    </w:p>
    <w:p>
      <w:pPr>
        <w:pStyle w:val="Heading2"/>
        <w:spacing w:after="100" w:before="220"/>
      </w:pPr>
      <w:r>
        <w:rPr>
          <w:b/>
          <w:bCs/>
          <w:color w:val="444444"/>
        </w:rPr>
        <w:t xml:space="preserve">3.4. Reconciliación (red contra la extracción)</w:t>
      </w:r>
    </w:p>
    <w:p>
      <w:pPr>
        <w:spacing w:after="120" w:line="278"/>
      </w:pPr>
      <w:r>
        <w:t xml:space="preserve">La extracción de PDF es donde más se esconden los errores silenciosos (columnas que se juntan, filas que se saltean, celdas partidas en dos líneas). La red: contar. ¿Cuántos CUIT únicos se extrajeron? ¿Coincide con la cantidad de clientes esperada? Si el PDF trae totales o conteos, cruzarlos. Además, tomar una muestra al azar de registros ya cargados y verificarlos a mano contra el PDF, para estimar la tasa de error que se escapó.</w:t>
      </w:r>
    </w:p>
    <w:p>
      <w:pPr>
        <w:pStyle w:val="Heading1"/>
        <w:spacing w:after="140" w:before="340"/>
      </w:pPr>
      <w:r>
        <w:rPr>
          <w:b/>
          <w:bCs/>
          <w:color w:val="1F4E79"/>
        </w:rPr>
        <w:t xml:space="preserve">4. La carga web</w:t>
      </w:r>
    </w:p>
    <w:p>
      <w:pPr>
        <w:spacing w:after="120" w:line="278"/>
      </w:pPr>
      <w:r>
        <w:t xml:space="preserve">La pantalla de destino se llama “Solicitudes Financieras” y corresponde exactamente a la Sección 1 del PDF (Solicitudes de Referencia): las columnas coinciden casi una a una.</w:t>
      </w:r>
    </w:p>
    <w:p>
      <w:pPr>
        <w:spacing w:after="120" w:line="278"/>
      </w:pPr>
      <w:r>
        <w:t xml:space="preserve">Mapeo de columnas PDF → web: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00"/>
      </w:tblGrid>
      <w:tr>
        <w:tc>
          <w:tcPr>
            <w:tcW w:type="dxa" w:w="3200"/>
            <w:shd w:fill="1F4E79" w:val="clear"/>
            <w:tcMar>
              <w:top w:type="dxa" w:w="50"/>
              <w:left w:type="dxa" w:w="100"/>
              <w:bottom w:type="dxa" w:w="50"/>
              <w:right w:type="dxa" w:w="100"/>
            </w:tcMar>
          </w:tcPr>
          <w:p>
            <w:r>
              <w:rPr>
                <w:b/>
                <w:bCs/>
                <w:color w:val="FFFFFF"/>
                <w:sz w:val="19"/>
                <w:szCs w:val="19"/>
              </w:rPr>
              <w:t xml:space="preserve">PDF (esquema)</w:t>
            </w:r>
          </w:p>
        </w:tc>
        <w:tc>
          <w:tcPr>
            <w:tcW w:type="dxa" w:w="3200"/>
            <w:shd w:fill="1F4E79" w:val="clear"/>
            <w:tcMar>
              <w:top w:type="dxa" w:w="50"/>
              <w:left w:type="dxa" w:w="100"/>
              <w:bottom w:type="dxa" w:w="50"/>
              <w:right w:type="dxa" w:w="100"/>
            </w:tcMar>
          </w:tcPr>
          <w:p>
            <w:r>
              <w:rPr>
                <w:b/>
                <w:bCs/>
                <w:color w:val="FFFFFF"/>
                <w:sz w:val="19"/>
                <w:szCs w:val="19"/>
              </w:rPr>
              <w:t xml:space="preserve">Web (formulario)</w:t>
            </w:r>
          </w:p>
        </w:tc>
        <w:tc>
          <w:tcPr>
            <w:tcW w:type="dxa" w:w="3200"/>
            <w:shd w:fill="1F4E79" w:val="clear"/>
            <w:tcMar>
              <w:top w:type="dxa" w:w="50"/>
              <w:left w:type="dxa" w:w="100"/>
              <w:bottom w:type="dxa" w:w="50"/>
              <w:right w:type="dxa" w:w="100"/>
            </w:tcMar>
          </w:tcPr>
          <w:p>
            <w:r>
              <w:rPr>
                <w:b/>
                <w:bCs/>
                <w:color w:val="FFFFFF"/>
                <w:sz w:val="19"/>
                <w:szCs w:val="19"/>
              </w:rPr>
              <w:t xml:space="preserve">Notas</w:t>
            </w:r>
          </w:p>
        </w:tc>
      </w:tr>
      <w:tr>
        <w:tc>
          <w:tcPr>
            <w:tcW w:type="dxa" w:w="3200"/>
            <w:tcMar>
              <w:top w:type="dxa" w:w="50"/>
              <w:left w:type="dxa" w:w="100"/>
              <w:bottom w:type="dxa" w:w="50"/>
              <w:right w:type="dxa" w:w="100"/>
            </w:tcMar>
          </w:tcPr>
          <w:p>
            <w:r>
              <w:rPr>
                <w:b w:val="false"/>
                <w:bCs w:val="false"/>
                <w:sz w:val="19"/>
                <w:szCs w:val="19"/>
              </w:rPr>
              <w:t xml:space="preserve">Fecha</w:t>
            </w:r>
          </w:p>
        </w:tc>
        <w:tc>
          <w:tcPr>
            <w:tcW w:type="dxa" w:w="3200"/>
            <w:tcMar>
              <w:top w:type="dxa" w:w="50"/>
              <w:left w:type="dxa" w:w="100"/>
              <w:bottom w:type="dxa" w:w="50"/>
              <w:right w:type="dxa" w:w="100"/>
            </w:tcMar>
          </w:tcPr>
          <w:p>
            <w:r>
              <w:rPr>
                <w:b w:val="false"/>
                <w:bCs w:val="false"/>
                <w:sz w:val="19"/>
                <w:szCs w:val="19"/>
              </w:rPr>
              <w:t xml:space="preserve">Fecha</w:t>
            </w:r>
          </w:p>
        </w:tc>
        <w:tc>
          <w:tcPr>
            <w:tcW w:type="dxa" w:w="3200"/>
            <w:tcMar>
              <w:top w:type="dxa" w:w="50"/>
              <w:left w:type="dxa" w:w="100"/>
              <w:bottom w:type="dxa" w:w="50"/>
              <w:right w:type="dxa" w:w="100"/>
            </w:tcMar>
          </w:tcPr>
          <w:p>
            <w:r>
              <w:rPr>
                <w:b w:val="false"/>
                <w:bCs w:val="false"/>
                <w:sz w:val="19"/>
                <w:szCs w:val="19"/>
              </w:rPr>
              <w:t xml:space="preserve">para matching</w:t>
            </w:r>
          </w:p>
        </w:tc>
      </w:tr>
      <w:tr>
        <w:tc>
          <w:tcPr>
            <w:tcW w:type="dxa" w:w="3200"/>
            <w:tcMar>
              <w:top w:type="dxa" w:w="50"/>
              <w:left w:type="dxa" w:w="100"/>
              <w:bottom w:type="dxa" w:w="50"/>
              <w:right w:type="dxa" w:w="100"/>
            </w:tcMar>
          </w:tcPr>
          <w:p>
            <w:r>
              <w:rPr>
                <w:b w:val="false"/>
                <w:bCs w:val="false"/>
                <w:sz w:val="19"/>
                <w:szCs w:val="19"/>
              </w:rPr>
              <w:t xml:space="preserve">Informante</w:t>
            </w:r>
          </w:p>
        </w:tc>
        <w:tc>
          <w:tcPr>
            <w:tcW w:type="dxa" w:w="3200"/>
            <w:tcMar>
              <w:top w:type="dxa" w:w="50"/>
              <w:left w:type="dxa" w:w="100"/>
              <w:bottom w:type="dxa" w:w="50"/>
              <w:right w:type="dxa" w:w="100"/>
            </w:tcMar>
          </w:tcPr>
          <w:p>
            <w:r>
              <w:rPr>
                <w:b w:val="false"/>
                <w:bCs w:val="false"/>
                <w:sz w:val="19"/>
                <w:szCs w:val="19"/>
              </w:rPr>
              <w:t xml:space="preserve">Informante</w:t>
            </w:r>
          </w:p>
        </w:tc>
        <w:tc>
          <w:tcPr>
            <w:tcW w:type="dxa" w:w="3200"/>
            <w:tcMar>
              <w:top w:type="dxa" w:w="50"/>
              <w:left w:type="dxa" w:w="100"/>
              <w:bottom w:type="dxa" w:w="50"/>
              <w:right w:type="dxa" w:w="100"/>
            </w:tcMar>
          </w:tcPr>
          <w:p>
            <w:r>
              <w:rPr>
                <w:b w:val="false"/>
                <w:bCs w:val="false"/>
                <w:sz w:val="19"/>
                <w:szCs w:val="19"/>
              </w:rPr>
              <w:t xml:space="preserve">para matching</w:t>
            </w:r>
          </w:p>
        </w:tc>
      </w:tr>
      <w:tr>
        <w:tc>
          <w:tcPr>
            <w:tcW w:type="dxa" w:w="3200"/>
            <w:tcMar>
              <w:top w:type="dxa" w:w="50"/>
              <w:left w:type="dxa" w:w="100"/>
              <w:bottom w:type="dxa" w:w="50"/>
              <w:right w:type="dxa" w:w="100"/>
            </w:tcMar>
          </w:tcPr>
          <w:p>
            <w:r>
              <w:rPr>
                <w:b w:val="false"/>
                <w:bCs w:val="false"/>
                <w:sz w:val="19"/>
                <w:szCs w:val="19"/>
              </w:rPr>
              <w:t xml:space="preserve">Condición de venta</w:t>
            </w:r>
          </w:p>
        </w:tc>
        <w:tc>
          <w:tcPr>
            <w:tcW w:type="dxa" w:w="3200"/>
            <w:tcMar>
              <w:top w:type="dxa" w:w="50"/>
              <w:left w:type="dxa" w:w="100"/>
              <w:bottom w:type="dxa" w:w="50"/>
              <w:right w:type="dxa" w:w="100"/>
            </w:tcMar>
          </w:tcPr>
          <w:p>
            <w:r>
              <w:rPr>
                <w:b w:val="false"/>
                <w:bCs w:val="false"/>
                <w:sz w:val="19"/>
                <w:szCs w:val="19"/>
              </w:rPr>
              <w:t xml:space="preserve">Condición</w:t>
            </w:r>
          </w:p>
        </w:tc>
        <w:tc>
          <w:tcPr>
            <w:tcW w:type="dxa" w:w="3200"/>
            <w:tcMar>
              <w:top w:type="dxa" w:w="50"/>
              <w:left w:type="dxa" w:w="100"/>
              <w:bottom w:type="dxa" w:w="50"/>
              <w:right w:type="dxa" w:w="100"/>
            </w:tcMar>
          </w:tcPr>
          <w:p>
            <w:r>
              <w:rPr>
                <w:b w:val="false"/>
                <w:bCs w:val="false"/>
                <w:sz w:val="19"/>
                <w:szCs w:val="19"/>
              </w:rPr>
              <w:t xml:space="preserve"/>
            </w:r>
          </w:p>
        </w:tc>
      </w:tr>
      <w:tr>
        <w:tc>
          <w:tcPr>
            <w:tcW w:type="dxa" w:w="3200"/>
            <w:tcMar>
              <w:top w:type="dxa" w:w="50"/>
              <w:left w:type="dxa" w:w="100"/>
              <w:bottom w:type="dxa" w:w="50"/>
              <w:right w:type="dxa" w:w="100"/>
            </w:tcMar>
          </w:tcPr>
          <w:p>
            <w:r>
              <w:rPr>
                <w:b w:val="false"/>
                <w:bCs w:val="false"/>
                <w:sz w:val="19"/>
                <w:szCs w:val="19"/>
              </w:rPr>
              <w:t xml:space="preserve">CO ($)</w:t>
            </w:r>
          </w:p>
        </w:tc>
        <w:tc>
          <w:tcPr>
            <w:tcW w:type="dxa" w:w="3200"/>
            <w:tcMar>
              <w:top w:type="dxa" w:w="50"/>
              <w:left w:type="dxa" w:w="100"/>
              <w:bottom w:type="dxa" w:w="50"/>
              <w:right w:type="dxa" w:w="100"/>
            </w:tcMar>
          </w:tcPr>
          <w:p>
            <w:r>
              <w:rPr>
                <w:b w:val="false"/>
                <w:bCs w:val="false"/>
                <w:sz w:val="19"/>
                <w:szCs w:val="19"/>
              </w:rPr>
              <w:t xml:space="preserve">Crédito Otorgado ($)</w:t>
            </w:r>
          </w:p>
        </w:tc>
        <w:tc>
          <w:tcPr>
            <w:tcW w:type="dxa" w:w="3200"/>
            <w:tcMar>
              <w:top w:type="dxa" w:w="50"/>
              <w:left w:type="dxa" w:w="100"/>
              <w:bottom w:type="dxa" w:w="50"/>
              <w:right w:type="dxa" w:w="100"/>
            </w:tcMar>
          </w:tcPr>
          <w:p>
            <w:r>
              <w:rPr>
                <w:b w:val="false"/>
                <w:bCs w:val="false"/>
                <w:sz w:val="19"/>
                <w:szCs w:val="19"/>
              </w:rPr>
              <w:t xml:space="preserve"/>
            </w:r>
          </w:p>
        </w:tc>
      </w:tr>
      <w:tr>
        <w:tc>
          <w:tcPr>
            <w:tcW w:type="dxa" w:w="3200"/>
            <w:tcMar>
              <w:top w:type="dxa" w:w="50"/>
              <w:left w:type="dxa" w:w="100"/>
              <w:bottom w:type="dxa" w:w="50"/>
              <w:right w:type="dxa" w:w="100"/>
            </w:tcMar>
          </w:tcPr>
          <w:p>
            <w:r>
              <w:rPr>
                <w:b w:val="false"/>
                <w:bCs w:val="false"/>
                <w:sz w:val="19"/>
                <w:szCs w:val="19"/>
              </w:rPr>
              <w:t xml:space="preserve">CT ($)</w:t>
            </w:r>
          </w:p>
        </w:tc>
        <w:tc>
          <w:tcPr>
            <w:tcW w:type="dxa" w:w="3200"/>
            <w:tcMar>
              <w:top w:type="dxa" w:w="50"/>
              <w:left w:type="dxa" w:w="100"/>
              <w:bottom w:type="dxa" w:w="50"/>
              <w:right w:type="dxa" w:w="100"/>
            </w:tcMar>
          </w:tcPr>
          <w:p>
            <w:r>
              <w:rPr>
                <w:b w:val="false"/>
                <w:bCs w:val="false"/>
                <w:sz w:val="19"/>
                <w:szCs w:val="19"/>
              </w:rPr>
              <w:t xml:space="preserve">Crédito Tomado ($)</w:t>
            </w:r>
          </w:p>
        </w:tc>
        <w:tc>
          <w:tcPr>
            <w:tcW w:type="dxa" w:w="3200"/>
            <w:tcMar>
              <w:top w:type="dxa" w:w="50"/>
              <w:left w:type="dxa" w:w="100"/>
              <w:bottom w:type="dxa" w:w="50"/>
              <w:right w:type="dxa" w:w="100"/>
            </w:tcMar>
          </w:tcPr>
          <w:p>
            <w:r>
              <w:rPr>
                <w:b w:val="false"/>
                <w:bCs w:val="false"/>
                <w:sz w:val="19"/>
                <w:szCs w:val="19"/>
              </w:rPr>
              <w:t xml:space="preserve"/>
            </w:r>
          </w:p>
        </w:tc>
      </w:tr>
      <w:tr>
        <w:tc>
          <w:tcPr>
            <w:tcW w:type="dxa" w:w="3200"/>
            <w:tcMar>
              <w:top w:type="dxa" w:w="50"/>
              <w:left w:type="dxa" w:w="100"/>
              <w:bottom w:type="dxa" w:w="50"/>
              <w:right w:type="dxa" w:w="100"/>
            </w:tcMar>
          </w:tcPr>
          <w:p>
            <w:r>
              <w:rPr>
                <w:b w:val="false"/>
                <w:bCs w:val="false"/>
                <w:sz w:val="19"/>
                <w:szCs w:val="19"/>
              </w:rPr>
              <w:t xml:space="preserve">CO (USD)</w:t>
            </w:r>
          </w:p>
        </w:tc>
        <w:tc>
          <w:tcPr>
            <w:tcW w:type="dxa" w:w="3200"/>
            <w:tcMar>
              <w:top w:type="dxa" w:w="50"/>
              <w:left w:type="dxa" w:w="100"/>
              <w:bottom w:type="dxa" w:w="50"/>
              <w:right w:type="dxa" w:w="100"/>
            </w:tcMar>
          </w:tcPr>
          <w:p>
            <w:r>
              <w:rPr>
                <w:b w:val="false"/>
                <w:bCs w:val="false"/>
                <w:sz w:val="19"/>
                <w:szCs w:val="19"/>
              </w:rPr>
              <w:t xml:space="preserve">Otorgado USD</w:t>
            </w:r>
          </w:p>
        </w:tc>
        <w:tc>
          <w:tcPr>
            <w:tcW w:type="dxa" w:w="3200"/>
            <w:tcMar>
              <w:top w:type="dxa" w:w="50"/>
              <w:left w:type="dxa" w:w="100"/>
              <w:bottom w:type="dxa" w:w="50"/>
              <w:right w:type="dxa" w:w="100"/>
            </w:tcMar>
          </w:tcPr>
          <w:p>
            <w:r>
              <w:rPr>
                <w:b w:val="false"/>
                <w:bCs w:val="false"/>
                <w:sz w:val="19"/>
                <w:szCs w:val="19"/>
              </w:rPr>
              <w:t xml:space="preserve"/>
            </w:r>
          </w:p>
        </w:tc>
      </w:tr>
      <w:tr>
        <w:tc>
          <w:tcPr>
            <w:tcW w:type="dxa" w:w="3200"/>
            <w:tcMar>
              <w:top w:type="dxa" w:w="50"/>
              <w:left w:type="dxa" w:w="100"/>
              <w:bottom w:type="dxa" w:w="50"/>
              <w:right w:type="dxa" w:w="100"/>
            </w:tcMar>
          </w:tcPr>
          <w:p>
            <w:r>
              <w:rPr>
                <w:b w:val="false"/>
                <w:bCs w:val="false"/>
                <w:sz w:val="19"/>
                <w:szCs w:val="19"/>
              </w:rPr>
              <w:t xml:space="preserve">CT (U$D)</w:t>
            </w:r>
          </w:p>
        </w:tc>
        <w:tc>
          <w:tcPr>
            <w:tcW w:type="dxa" w:w="3200"/>
            <w:tcMar>
              <w:top w:type="dxa" w:w="50"/>
              <w:left w:type="dxa" w:w="100"/>
              <w:bottom w:type="dxa" w:w="50"/>
              <w:right w:type="dxa" w:w="100"/>
            </w:tcMar>
          </w:tcPr>
          <w:p>
            <w:r>
              <w:rPr>
                <w:b w:val="false"/>
                <w:bCs w:val="false"/>
                <w:sz w:val="19"/>
                <w:szCs w:val="19"/>
              </w:rPr>
              <w:t xml:space="preserve">Tomado USD</w:t>
            </w:r>
          </w:p>
        </w:tc>
        <w:tc>
          <w:tcPr>
            <w:tcW w:type="dxa" w:w="3200"/>
            <w:tcMar>
              <w:top w:type="dxa" w:w="50"/>
              <w:left w:type="dxa" w:w="100"/>
              <w:bottom w:type="dxa" w:w="50"/>
              <w:right w:type="dxa" w:w="100"/>
            </w:tcMar>
          </w:tcPr>
          <w:p>
            <w:r>
              <w:rPr>
                <w:b w:val="false"/>
                <w:bCs w:val="false"/>
                <w:sz w:val="19"/>
                <w:szCs w:val="19"/>
              </w:rPr>
              <w:t xml:space="preserve"/>
            </w:r>
          </w:p>
        </w:tc>
      </w:tr>
      <w:tr>
        <w:tc>
          <w:tcPr>
            <w:tcW w:type="dxa" w:w="3200"/>
            <w:tcMar>
              <w:top w:type="dxa" w:w="50"/>
              <w:left w:type="dxa" w:w="100"/>
              <w:bottom w:type="dxa" w:w="50"/>
              <w:right w:type="dxa" w:w="100"/>
            </w:tcMar>
          </w:tcPr>
          <w:p>
            <w:r>
              <w:rPr>
                <w:b w:val="false"/>
                <w:bCs w:val="false"/>
                <w:sz w:val="19"/>
                <w:szCs w:val="19"/>
              </w:rPr>
              <w:t xml:space="preserve">Antigüedad</w:t>
            </w:r>
          </w:p>
        </w:tc>
        <w:tc>
          <w:tcPr>
            <w:tcW w:type="dxa" w:w="3200"/>
            <w:tcMar>
              <w:top w:type="dxa" w:w="50"/>
              <w:left w:type="dxa" w:w="100"/>
              <w:bottom w:type="dxa" w:w="50"/>
              <w:right w:type="dxa" w:w="100"/>
            </w:tcMar>
          </w:tcPr>
          <w:p>
            <w:r>
              <w:rPr>
                <w:b w:val="false"/>
                <w:bCs w:val="false"/>
                <w:sz w:val="19"/>
                <w:szCs w:val="19"/>
              </w:rPr>
              <w:t xml:space="preserve">Antigüedad</w:t>
            </w:r>
          </w:p>
        </w:tc>
        <w:tc>
          <w:tcPr>
            <w:tcW w:type="dxa" w:w="3200"/>
            <w:tcMar>
              <w:top w:type="dxa" w:w="50"/>
              <w:left w:type="dxa" w:w="100"/>
              <w:bottom w:type="dxa" w:w="50"/>
              <w:right w:type="dxa" w:w="100"/>
            </w:tcMar>
          </w:tcPr>
          <w:p>
            <w:r>
              <w:rPr>
                <w:b w:val="false"/>
                <w:bCs w:val="false"/>
                <w:sz w:val="19"/>
                <w:szCs w:val="19"/>
              </w:rPr>
              <w:t xml:space="preserve">confirmar formato</w:t>
            </w:r>
          </w:p>
        </w:tc>
      </w:tr>
      <w:tr>
        <w:tc>
          <w:tcPr>
            <w:tcW w:type="dxa" w:w="3200"/>
            <w:tcMar>
              <w:top w:type="dxa" w:w="50"/>
              <w:left w:type="dxa" w:w="100"/>
              <w:bottom w:type="dxa" w:w="50"/>
              <w:right w:type="dxa" w:w="100"/>
            </w:tcMar>
          </w:tcPr>
          <w:p>
            <w:r>
              <w:rPr>
                <w:b w:val="false"/>
                <w:bCs w:val="false"/>
                <w:sz w:val="19"/>
                <w:szCs w:val="19"/>
              </w:rPr>
              <w:t xml:space="preserve">—</w:t>
            </w:r>
          </w:p>
        </w:tc>
        <w:tc>
          <w:tcPr>
            <w:tcW w:type="dxa" w:w="3200"/>
            <w:tcMar>
              <w:top w:type="dxa" w:w="50"/>
              <w:left w:type="dxa" w:w="100"/>
              <w:bottom w:type="dxa" w:w="50"/>
              <w:right w:type="dxa" w:w="100"/>
            </w:tcMar>
          </w:tcPr>
          <w:p>
            <w:r>
              <w:rPr>
                <w:b w:val="false"/>
                <w:bCs w:val="false"/>
                <w:sz w:val="19"/>
                <w:szCs w:val="19"/>
              </w:rPr>
              <w:t xml:space="preserve">Monto Aseg. / Seguro / Doc.</w:t>
            </w:r>
          </w:p>
        </w:tc>
        <w:tc>
          <w:tcPr>
            <w:tcW w:type="dxa" w:w="3200"/>
            <w:tcMar>
              <w:top w:type="dxa" w:w="50"/>
              <w:left w:type="dxa" w:w="100"/>
              <w:bottom w:type="dxa" w:w="50"/>
              <w:right w:type="dxa" w:w="100"/>
            </w:tcMar>
          </w:tcPr>
          <w:p>
            <w:r>
              <w:rPr>
                <w:b w:val="false"/>
                <w:bCs w:val="false"/>
                <w:sz w:val="19"/>
                <w:szCs w:val="19"/>
              </w:rPr>
              <w:t xml:space="preserve">NO se tocan</w:t>
            </w:r>
          </w:p>
        </w:tc>
      </w:tr>
    </w:tbl>
    <w:p>
      <w:pPr>
        <w:spacing w:after="120" w:line="278"/>
      </w:pPr>
      <w:r>
        <w:t xml:space="preserve">Cómo funciona la carga en la web: en la tabla, cada fila tiene un lápiz que navega a una URL de edición del tipo:</w:t>
      </w:r>
    </w:p>
    <w:p>
      <w:pPr>
        <w:shd w:fill="F2F2F2" w:val="clear"/>
        <w:spacing w:after="120"/>
      </w:pPr>
      <w:r>
        <w:rPr>
          <w:rFonts w:ascii="Consolas" w:cs="Consolas" w:eastAsia="Consolas" w:hAnsi="Consolas"/>
          <w:sz w:val="19"/>
          <w:szCs w:val="19"/>
        </w:rPr>
        <w:t xml:space="preserve">/admin/solicitudes/{id_solicitud}/financieras/{id_fila}/edit</w:t>
      </w:r>
    </w:p>
    <w:p>
      <w:pPr>
        <w:pStyle w:val="Heading2"/>
        <w:spacing w:after="100" w:before="220"/>
      </w:pPr>
      <w:r>
        <w:rPr>
          <w:b/>
          <w:bCs/>
          <w:color w:val="444444"/>
        </w:rPr>
        <w:t xml:space="preserve">4.1. El nudo: el puente PDF ↔ URL</w:t>
      </w:r>
    </w:p>
    <w:p>
      <w:pPr>
        <w:spacing w:after="120" w:line="278"/>
      </w:pPr>
      <w:r>
        <w:t xml:space="preserve">La URL necesita dos IDs internos: el de la solicitud y el de la fila. Se verificó que NINGUNO de los dos está en el PDF. Lo único que se comparte entre PDF y web para identificar un cliente es el CUIT (más nombre, fecha, informante).</w:t>
      </w:r>
    </w:p>
    <w:p>
      <w:pPr>
        <w:spacing w:after="120" w:line="278"/>
      </w:pPr>
      <w:r>
        <w:t xml:space="preserve">Consecuencia: no hay atajo por URL directa desde el PDF. Es obligatoria una fase de descubrimiento previa que construya un “directorio”:</w:t>
      </w:r>
    </w:p>
    <w:p>
      <w:pPr>
        <w:shd w:fill="F2F2F2" w:val="clear"/>
        <w:spacing w:after="120"/>
      </w:pPr>
      <w:r>
        <w:rPr>
          <w:rFonts w:ascii="Consolas" w:cs="Consolas" w:eastAsia="Consolas" w:hAnsi="Consolas"/>
          <w:sz w:val="19"/>
          <w:szCs w:val="19"/>
        </w:rPr>
        <w:t xml:space="preserve">(cuit, fecha, informante)  →  url_de_edicion</w:t>
      </w:r>
    </w:p>
    <w:p>
      <w:pPr>
        <w:spacing w:after="120" w:line="278"/>
      </w:pPr>
      <w:r>
        <w:t xml:space="preserve">La parte elegante: no hay que adivinar los IDs. El lápiz de cada fila YA contiene la URL completa en su enlace (href). Entonces se cosecha: se recorre la tabla de cada solicitud una vez, y de cada lápiz se saca el href (con los dos IDs ya armados) junto con la fecha y el informante de esa fila. Un barrido deja el directorio completo. Después la carga es directa: buscar en el directorio, ir a la URL, escribir.</w:t>
      </w:r>
    </w:p>
    <w:p>
      <w:pPr>
        <w:spacing w:after="120" w:line="278"/>
      </w:pPr>
      <w:r>
        <w:t xml:space="preserve">El proyecto queda partido en dos fases:</w:t>
      </w:r>
    </w:p>
    <w:p>
      <w:pPr>
        <w:pStyle w:val="ListParagraph"/>
        <w:numPr>
          <w:ilvl w:val="0"/>
          <w:numId w:val="3"/>
        </w:numPr>
        <w:spacing w:after="70" w:line="276"/>
      </w:pPr>
      <w:r>
        <w:rPr>
          <w:b/>
          <w:bCs/>
        </w:rPr>
        <w:t xml:space="preserve">Descubrimiento</w:t>
      </w:r>
      <w:r>
        <w:t xml:space="preserve"> (una vez): barrer las tablas y cosechar (fecha, informante) → url.</w:t>
      </w:r>
    </w:p>
    <w:p>
      <w:pPr>
        <w:pStyle w:val="ListParagraph"/>
        <w:numPr>
          <w:ilvl w:val="0"/>
          <w:numId w:val="3"/>
        </w:numPr>
        <w:spacing w:after="70" w:line="276"/>
      </w:pPr>
      <w:r>
        <w:rPr>
          <w:b/>
          <w:bCs/>
        </w:rPr>
        <w:t xml:space="preserve">Carga</w:t>
      </w:r>
      <w:r>
        <w:t xml:space="preserve"> (idempotente, retomable): por cada fila del PDF, buscar su URL, ir directo, escribir.</w:t>
      </w:r>
    </w:p>
    <w:p>
      <w:pPr>
        <w:pStyle w:val="Heading2"/>
        <w:spacing w:after="100" w:before="220"/>
      </w:pPr>
      <w:r>
        <w:rPr>
          <w:b/>
          <w:bCs/>
          <w:color w:val="444444"/>
        </w:rPr>
        <w:t xml:space="preserve">4.2. Redes de seguridad en la carga</w:t>
      </w:r>
    </w:p>
    <w:p>
      <w:pPr>
        <w:pStyle w:val="ListParagraph"/>
        <w:numPr>
          <w:ilvl w:val="0"/>
          <w:numId w:val="2"/>
        </w:numPr>
        <w:spacing w:after="70" w:line="276"/>
      </w:pPr>
      <w:r>
        <w:rPr>
          <w:b/>
          <w:bCs/>
        </w:rPr>
        <w:t xml:space="preserve">Matching antes de escribir: </w:t>
      </w:r>
      <w:r>
        <w:t xml:space="preserve">con el formulario ya abierto, leer fecha + informante y confirmar que coinciden con el registro del PDF antes de escribir un solo campo. Esto evita cargarle los datos de un cliente a otro.</w:t>
      </w:r>
    </w:p>
    <w:p>
      <w:pPr>
        <w:pStyle w:val="ListParagraph"/>
        <w:numPr>
          <w:ilvl w:val="0"/>
          <w:numId w:val="2"/>
        </w:numPr>
        <w:spacing w:after="70" w:line="276"/>
      </w:pPr>
      <w:r>
        <w:rPr>
          <w:b/>
          <w:bCs/>
        </w:rPr>
        <w:t xml:space="preserve">Cuidado con los duplicados: </w:t>
      </w:r>
      <w:r>
        <w:t xml:space="preserve">dentro de una misma solicitud, un informante (STENFAR, MICROGLOBAL) puede repetirse. Si dos filas tienen igual fecha e informante, la clave no desambigua: esos casos se mandan a problemas en vez de adivinar.</w:t>
      </w:r>
    </w:p>
    <w:p>
      <w:pPr>
        <w:pStyle w:val="ListParagraph"/>
        <w:numPr>
          <w:ilvl w:val="0"/>
          <w:numId w:val="2"/>
        </w:numPr>
        <w:spacing w:after="70" w:line="276"/>
      </w:pPr>
      <w:r>
        <w:rPr>
          <w:b/>
          <w:bCs/>
        </w:rPr>
        <w:t xml:space="preserve">Lista blanca de campos: </w:t>
      </w:r>
      <w:r>
        <w:t xml:space="preserve">el sistema solo puede escribir en Condición, Crédito Otorgado, Crédito Tomado, Otorgado USD, Tomado USD y Antigüedad. Monto Asegurado, Seguro y Doc. NO se tocan nunca, y eliminar tampoco. Conviene que esto sea una regla en el código (una lista blanca que aborta si se intenta escribir fuera de ella), no una disciplina mental.</w:t>
      </w:r>
    </w:p>
    <w:p>
      <w:pPr>
        <w:pStyle w:val="ListParagraph"/>
        <w:numPr>
          <w:ilvl w:val="0"/>
          <w:numId w:val="2"/>
        </w:numPr>
        <w:spacing w:after="70" w:line="276"/>
      </w:pPr>
      <w:r>
        <w:rPr>
          <w:b/>
          <w:bCs/>
        </w:rPr>
        <w:t xml:space="preserve">Read-back de confirmación: </w:t>
      </w:r>
      <w:r>
        <w:t xml:space="preserve">las celdas vacías se muestran como “$—”. Después de guardar, releer la celda: si sigue en “—”, el guardado falló → problemas. Confirmación gratis que da la propia web.</w:t>
      </w:r>
    </w:p>
    <w:p>
      <w:pPr>
        <w:pStyle w:val="Heading2"/>
        <w:spacing w:after="100" w:before="220"/>
      </w:pPr>
      <w:r>
        <w:rPr>
          <w:b/>
          <w:bCs/>
          <w:color w:val="444444"/>
        </w:rPr>
        <w:t xml:space="preserve">4.3. Idempotencia (poder repetir sin duplicar)</w:t>
      </w:r>
    </w:p>
    <w:p>
      <w:pPr>
        <w:spacing w:after="120" w:line="278"/>
      </w:pPr>
      <w:r>
        <w:t xml:space="preserve">Idempotente = correr el proceso una o diez veces deja el mismo resultado, no duplica nada. Es crítico acá: son miles de cargas y si se corta (internet, cierre, etc.) hay que poder retomar sin recargar lo ya hecho.</w:t>
      </w:r>
    </w:p>
    <w:p>
      <w:pPr>
        <w:spacing w:after="120" w:line="278"/>
      </w:pPr>
      <w:r>
        <w:t xml:space="preserve">La solución: un archivo SQLite con una fila por registro y una columna de estado (pendiente / ok / error). El cargador solo toca los “pendiente”; si se corta, se vuelve a correr y sigue solo. La clave de estado es compuesta: </w:t>
      </w:r>
      <w:r>
        <w:rPr>
          <w:rFonts w:ascii="Consolas" w:cs="Consolas" w:eastAsia="Consolas" w:hAnsi="Consolas"/>
          <w:sz w:val="19"/>
          <w:szCs w:val="19"/>
        </w:rPr>
        <w:t xml:space="preserve">(cliente + solicitud + fecha + informante)</w:t>
      </w:r>
      <w:r>
        <w:t xml:space="preserve">. El volumen se cuenta a nivel fila, no a nivel cliente, así que serán bastantes más que 1200.</w:t>
      </w:r>
    </w:p>
    <w:p>
      <w:pPr>
        <w:pStyle w:val="Heading1"/>
        <w:spacing w:after="140" w:before="340"/>
      </w:pPr>
      <w:r>
        <w:rPr>
          <w:b/>
          <w:bCs/>
          <w:color w:val="1F4E79"/>
        </w:rPr>
        <w:t xml:space="preserve">5. Entrega a una persona no técnica</w:t>
      </w:r>
    </w:p>
    <w:p>
      <w:pPr>
        <w:spacing w:after="120" w:line="278"/>
      </w:pPr>
      <w:r>
        <w:t xml:space="preserve">El sistema lo va a usar alguien sin conocimientos de programación, en Windows, sin nada instalado. La recomendación de diseño: que nunca vea Python ni una consola. Dos caminos:</w:t>
      </w:r>
    </w:p>
    <w:p>
      <w:pPr>
        <w:pStyle w:val="ListParagraph"/>
        <w:numPr>
          <w:ilvl w:val="0"/>
          <w:numId w:val="2"/>
        </w:numPr>
        <w:spacing w:after="70" w:line="276"/>
      </w:pPr>
      <w:r>
        <w:rPr>
          <w:b/>
          <w:bCs/>
        </w:rPr>
        <w:t xml:space="preserve">Carpeta con archivos para doble-click </w:t>
      </w:r>
      <w:r>
        <w:t xml:space="preserve">(instalar.bat, 1_procesar.bat, 2_cargar.bat) más Python instalado una vez. Es el esquema para el que está escrito el Manual de uso adjunto.</w:t>
      </w:r>
    </w:p>
    <w:p>
      <w:pPr>
        <w:pStyle w:val="ListParagraph"/>
        <w:numPr>
          <w:ilvl w:val="0"/>
          <w:numId w:val="2"/>
        </w:numPr>
        <w:spacing w:after="70" w:line="276"/>
      </w:pPr>
      <w:r>
        <w:rPr>
          <w:b/>
          <w:bCs/>
        </w:rPr>
        <w:t xml:space="preserve">Empaquetar en un .exe </w:t>
      </w:r>
      <w:r>
        <w:t xml:space="preserve">(con PyInstaller): ni siquiera hace falta instalar Python. Más trabajo de armado, pero la experiencia es más simple y a prueba de errores.</w:t>
      </w:r>
    </w:p>
    <w:p>
      <w:pPr>
        <w:spacing w:after="120" w:line="278"/>
      </w:pPr>
      <w:r>
        <w:t xml:space="preserve">Se entregó aparte un </w:t>
      </w:r>
      <w:r>
        <w:rPr>
          <w:b/>
          <w:bCs/>
        </w:rPr>
        <w:t xml:space="preserve">Manual de uso</w:t>
      </w:r>
      <w:r>
        <w:t xml:space="preserve"> escrito para esa persona, en lenguaje llano (a la consola le dice “la ventana negra”, etc.), que cubre instalación desde cero y uso día a día.</w:t>
      </w:r>
    </w:p>
    <w:p>
      <w:pPr>
        <w:pStyle w:val="Heading1"/>
        <w:spacing w:after="140" w:before="340"/>
      </w:pPr>
      <w:r>
        <w:rPr>
          <w:b/>
          <w:bCs/>
          <w:color w:val="1F4E79"/>
        </w:rPr>
        <w:t xml:space="preserve">6. Lo que falta definir</w:t>
      </w:r>
    </w:p>
    <w:p>
      <w:pPr>
        <w:spacing w:after="120" w:line="278"/>
      </w:pPr>
      <w:r>
        <w:t xml:space="preserve">Todo esto requiere tener la web a mano. Ninguno bloquea empezar por la parte de lectura y validación del PDF, que es independiente.</w:t>
      </w:r>
    </w:p>
    <w:p>
      <w:pPr>
        <w:pBdr>
          <w:top w:val="single" w:color="1F4E79" w:sz="4" w:space="6"/>
          <w:bottom w:val="single" w:color="1F4E79" w:sz="4" w:space="6"/>
          <w:left w:val="single" w:color="1F4E79" w:sz="4" w:space="6"/>
          <w:right w:val="single" w:color="1F4E79" w:sz="4" w:space="6"/>
        </w:pBdr>
        <w:shd w:fill="FCE8E6" w:val="clear"/>
        <w:spacing w:after="140" w:before="140" w:line="278"/>
      </w:pPr>
      <w:r>
        <w:rPr>
          <w:b/>
          <w:bCs/>
          <w:color w:val="C00000"/>
        </w:rPr>
        <w:t xml:space="preserve">Lo único de diseño que falta: </w:t>
      </w:r>
      <w:r>
        <w:t xml:space="preserve">cómo se llega desde el CUIT a la solicitud del cliente en la web. Es la puerta de entrada de la fase de descubrimiento. Las opciones a averiguar: (a) hay un buscador por CUIT; (b) hay una lista general de solicitudes que muestra el CUIT de cada una y se puede recorrer; (c) no hay ninguna de las dos y la persona llega a cada cliente de otra forma (en cuyo caso, ver cómo lo hace hoy). Esta es la primera tarea a resolver frente a la web.</w:t>
      </w:r>
    </w:p>
    <w:p>
      <w:pPr>
        <w:spacing w:after="120" w:line="278"/>
      </w:pPr>
      <w:r>
        <w:t xml:space="preserve">Confirmaciones menores (mirar cuando haya acceso, no bloquean nada):</w:t>
      </w:r>
    </w:p>
    <w:p>
      <w:pPr>
        <w:pStyle w:val="ListParagraph"/>
        <w:numPr>
          <w:ilvl w:val="0"/>
          <w:numId w:val="4"/>
        </w:numPr>
        <w:spacing w:after="70" w:line="276"/>
      </w:pPr>
      <w:r>
        <w:rPr>
          <w:b/>
          <w:bCs/>
        </w:rPr>
        <w:t xml:space="preserve">Formato del campo Antigüedad </w:t>
      </w:r>
      <w:r>
        <w:t xml:space="preserve">en el formulario: ¿pide una fecha o un texto tipo “N años”? Si pide años, la conversión a fecha ya hecha sirve igual (de una fecha siempre se sacan los años); solo se agrega un formateador de salida.</w:t>
      </w:r>
    </w:p>
    <w:p>
      <w:pPr>
        <w:pStyle w:val="ListParagraph"/>
        <w:numPr>
          <w:ilvl w:val="0"/>
          <w:numId w:val="4"/>
        </w:numPr>
        <w:spacing w:after="70" w:line="276"/>
      </w:pPr>
      <w:r>
        <w:rPr>
          <w:b/>
          <w:bCs/>
        </w:rPr>
        <w:t xml:space="preserve">Formato de número al escribir: </w:t>
      </w:r>
      <w:r>
        <w:t xml:space="preserve">¿el input quiere 25000 crudo o 25.000 con puntos? (Leer del PDF ya está resuelto; esto es solo al escribir.)</w:t>
      </w:r>
    </w:p>
    <w:p>
      <w:pPr>
        <w:pStyle w:val="ListParagraph"/>
        <w:numPr>
          <w:ilvl w:val="0"/>
          <w:numId w:val="4"/>
        </w:numPr>
        <w:spacing w:after="70" w:line="276"/>
      </w:pPr>
      <w:r>
        <w:rPr>
          <w:b/>
          <w:bCs/>
        </w:rPr>
        <w:t xml:space="preserve">Después de guardar, </w:t>
      </w:r>
      <w:r>
        <w:t xml:space="preserve">¿la web vuelve a la tabla o deja en la página de edición? Cambia el paso de read-back.</w:t>
      </w:r>
    </w:p>
    <w:p>
      <w:pPr>
        <w:spacing w:after="120" w:line="278"/>
      </w:pPr>
      <w:r>
        <w:t xml:space="preserve">Y una confirmación abierta: ¿el esqueleto de filas (fecha + informante ya cargados) lo crea otro proceso y solo hay que completar, o a veces también hay que crear filas nuevas? Todo lo visto indica que es solo completar (editar), pero conviene confirmarlo.</w:t>
      </w:r>
    </w:p>
    <w:p>
      <w:pPr>
        <w:pStyle w:val="Heading1"/>
        <w:spacing w:after="140" w:before="340"/>
      </w:pPr>
      <w:r>
        <w:rPr>
          <w:b/>
          <w:bCs/>
          <w:color w:val="1F4E79"/>
        </w:rPr>
        <w:t xml:space="preserve">7. Orden sugerido para construir</w:t>
      </w:r>
    </w:p>
    <w:p>
      <w:pPr>
        <w:spacing w:after="120" w:line="278"/>
      </w:pPr>
      <w:r>
        <w:t xml:space="preserve">No armar las cuatro capas y unirlas al final. Ir por un “vertical slice” de punta a punta con poco volumen primero:</w:t>
      </w:r>
    </w:p>
    <w:p>
      <w:pPr>
        <w:pStyle w:val="ListParagraph"/>
        <w:numPr>
          <w:ilvl w:val="0"/>
          <w:numId w:val="5"/>
        </w:numPr>
        <w:spacing w:after="70" w:line="276"/>
      </w:pPr>
      <w:r>
        <w:t xml:space="preserve">Un PDF → tablas crudas; verificar a ojo que las columnas salgan bien.</w:t>
      </w:r>
    </w:p>
    <w:p>
      <w:pPr>
        <w:pStyle w:val="ListParagraph"/>
        <w:numPr>
          <w:ilvl w:val="0"/>
          <w:numId w:val="5"/>
        </w:numPr>
        <w:spacing w:after="70" w:line="276"/>
      </w:pPr>
      <w:r>
        <w:t xml:space="preserve">Esas tablas → validación (esquema.py ya está); mirar los problemas.</w:t>
      </w:r>
    </w:p>
    <w:p>
      <w:pPr>
        <w:pStyle w:val="ListParagraph"/>
        <w:numPr>
          <w:ilvl w:val="0"/>
          <w:numId w:val="5"/>
        </w:numPr>
        <w:spacing w:after="70" w:line="276"/>
      </w:pPr>
      <w:r>
        <w:t xml:space="preserve">Una fila → Playwright en modo “dry-run” (llena el formulario pero NO guarda); ajustar el mapeo de campos.</w:t>
      </w:r>
    </w:p>
    <w:p>
      <w:pPr>
        <w:pStyle w:val="ListParagraph"/>
        <w:numPr>
          <w:ilvl w:val="0"/>
          <w:numId w:val="5"/>
        </w:numPr>
        <w:spacing w:after="70" w:line="276"/>
      </w:pPr>
      <w:r>
        <w:t xml:space="preserve">Sacar el dry-run, cargar esa fila real, confirmar en la web.</w:t>
      </w:r>
    </w:p>
    <w:p>
      <w:pPr>
        <w:pStyle w:val="ListParagraph"/>
        <w:numPr>
          <w:ilvl w:val="0"/>
          <w:numId w:val="5"/>
        </w:numPr>
        <w:spacing w:after="70" w:line="276"/>
      </w:pPr>
      <w:r>
        <w:t xml:space="preserve">Recién ahí, resolver el descubrimiento (el puente CUIT→URL) y escalar con el estado en SQLite.</w:t>
      </w:r>
    </w:p>
    <w:p>
      <w:pPr>
        <w:spacing w:after="120" w:line="278"/>
      </w:pPr>
      <w:r>
        <w:rPr>
          <w:b/>
          <w:bCs/>
        </w:rPr>
        <w:t xml:space="preserve">Archivos entregados junto a este documento: </w:t>
      </w:r>
      <w:r>
        <w:rPr>
          <w:rFonts w:ascii="Consolas" w:cs="Consolas" w:eastAsia="Consolas" w:hAnsi="Consolas"/>
          <w:sz w:val="19"/>
          <w:szCs w:val="19"/>
        </w:rPr>
        <w:t xml:space="preserve">esquema.py</w:t>
      </w:r>
      <w:r>
        <w:t xml:space="preserve"> (validación y normalización, ya probado) y </w:t>
      </w:r>
      <w:r>
        <w:rPr>
          <w:rFonts w:ascii="Consolas" w:cs="Consolas" w:eastAsia="Consolas" w:hAnsi="Consolas"/>
          <w:sz w:val="19"/>
          <w:szCs w:val="19"/>
        </w:rPr>
        <w:t xml:space="preserve">Manual_de_uso.docx</w:t>
      </w:r>
      <w:r>
        <w:t xml:space="preserve"> (manual para la persona que opere el sistema).</w:t>
      </w:r>
    </w:p>
    <w:p>
      <w:pPr>
        <w:pStyle w:val="Heading1"/>
        <w:spacing w:after="140" w:before="340"/>
      </w:pPr>
      <w:r>
        <w:rPr>
          <w:b/>
          <w:bCs/>
          <w:color w:val="1F4E79"/>
        </w:rPr>
        <w:t xml:space="preserve">8. Cómo trabajar esto con Claude (recomendación)</w:t>
      </w:r>
    </w:p>
    <w:p>
      <w:pPr>
        <w:spacing w:after="120" w:line="278"/>
      </w:pPr>
      <w:r>
        <w:t xml:space="preserve">Si vas a construir esto ayudándote con una instancia de Claude, el mejor consejo es avanzar en tajadas finas y verificables, no pedir “armá todo el sistema” de una. La idea es probar de a poquito y confirmar que cada pedacito anda antes de seguir. La herramienta concreta para eso es pedir un dry-run (una corrida “en seco”, que ejecuta el flujo pero sin producir efectos reales). Hay dos tipos y conviene pedir el correcto según la etapa:</w:t>
      </w:r>
    </w:p>
    <w:p>
      <w:pPr>
        <w:pBdr>
          <w:top w:val="single" w:color="1F4E79" w:sz="4" w:space="6"/>
          <w:bottom w:val="single" w:color="1F4E79" w:sz="4" w:space="6"/>
          <w:left w:val="single" w:color="1F4E79" w:sz="4" w:space="6"/>
          <w:right w:val="single" w:color="1F4E79" w:sz="4" w:space="6"/>
        </w:pBdr>
        <w:shd w:fill="EEF3FA" w:val="clear"/>
        <w:spacing w:after="140" w:before="140" w:line="278"/>
      </w:pPr>
      <w:r>
        <w:rPr>
          <w:b/>
          <w:bCs/>
        </w:rPr>
        <w:t xml:space="preserve">Dry-run de la parte web (el más importante): </w:t>
      </w:r>
      <w:r>
        <w:t xml:space="preserve">pedile a Claude que el bot navegue hasta la fila y llene todos los campos del formulario pero que NO apriete guardar. Sirve para verificar que el mapeo de campos es correcto y que está parado en la fila que corresponde, sin escribir nada real en el sistema. Es la red que evita ensuciar datos de producción mientras se prueba. Recién cuando eso funciona bien, se saca el freno y se deja que guarde de verdad, primero con una sola fila.</w:t>
      </w:r>
    </w:p>
    <w:p>
      <w:pPr>
        <w:pBdr>
          <w:top w:val="single" w:color="1F4E79" w:sz="4" w:space="6"/>
          <w:bottom w:val="single" w:color="1F4E79" w:sz="4" w:space="6"/>
          <w:left w:val="single" w:color="1F4E79" w:sz="4" w:space="6"/>
          <w:right w:val="single" w:color="1F4E79" w:sz="4" w:space="6"/>
        </w:pBdr>
        <w:shd w:fill="EEF3FA" w:val="clear"/>
        <w:spacing w:after="140" w:before="140" w:line="278"/>
      </w:pPr>
      <w:r>
        <w:rPr>
          <w:b/>
          <w:bCs/>
        </w:rPr>
        <w:t xml:space="preserve">Dry-run del pipeline completo: </w:t>
      </w:r>
      <w:r>
        <w:t xml:space="preserve">pedile correr todo de punta a punta pero contra un solo cliente (o cinco), no contra los ~1200. Sirve para ver el flujo entero funcionando en chico antes de soltarlo en grande. Si algo falla, falla barato.</w:t>
      </w:r>
    </w:p>
    <w:p>
      <w:pPr>
        <w:spacing w:after="120" w:line="278"/>
      </w:pPr>
      <w:r>
        <w:t xml:space="preserve">Frases útiles para pedirle a Claude, como ejemplo: “hacé un dry-run: llená el formulario pero no guardes, y mostrame qué ibas a escribir en cada campo”, o “probá el pipeline completo con un solo cliente y frená antes de cargar en la web”. La regla de fondo: cada paso del “Orden sugerido para construir” (sección 7) conviene cerrarlo y verificarlo antes de pasar al siguiente.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abstractNum w:abstractNumId="5"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2026-08-17T00:29:34.286Z</dcterms:created>
  <dcterms:modified xsi:type="dcterms:W3CDTF">2026-08-17T00:29:34.304Z</dcterms:modified>
</cp:coreProperties>
</file>

<file path=docProps/custom.xml><?xml version="1.0" encoding="utf-8"?>
<Properties xmlns="http://schemas.openxmlformats.org/officeDocument/2006/custom-properties" xmlns:vt="http://schemas.openxmlformats.org/officeDocument/2006/docPropsVTypes"/>
</file>