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給与マスター変更 照合チェックリスト（年度）</w:t>
      </w:r>
    </w:p>
    <w:p>
      <w:r>
        <w:rPr>
          <w:sz w:val="20"/>
        </w:rPr>
        <w:t>東都マニュファクチャリング株式会社（架空）</w:t>
      </w:r>
    </w:p>
    <w:p>
      <w:r>
        <w:t>※本資料は内部統制テスト用のダミーエビデンスです（架空データ）。</w:t>
      </w:r>
    </w:p>
    <w:p/>
    <w:p>
      <w:r>
        <w:t>1) 根拠書類（辞令/届出書）の有無</w:t>
      </w:r>
    </w:p>
    <w:p>
      <w:r>
        <w:t>2) 入力値の二重チェック（旧値・新値・適用日）</w:t>
      </w:r>
    </w:p>
    <w:p>
      <w:r>
        <w:t>3) 入力者と照合者（人事部次長）の分離</w:t>
      </w:r>
    </w:p>
    <w:p>
      <w:r>
        <w:t>年度レビュー：サンプル25件で逸脱なし。人事部次長 井口（印） 2026年01月06日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