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異常値分析メモ（2025年11月）</w:t>
      </w:r>
    </w:p>
    <w:p>
      <w:r>
        <w:rPr>
          <w:sz w:val="20"/>
        </w:rPr>
        <w:t>東都マニュファクチャリング株式会社（架空）</w:t>
      </w:r>
    </w:p>
    <w:p>
      <w:r>
        <w:t>※本資料は内部統制テスト用のダミーエビデンスです（架空データ）。</w:t>
      </w:r>
    </w:p>
    <w:p/>
    <w:p>
      <w:r>
        <w:t>電力費増：第3ライン特急対応で稼働時間が増加。</w:t>
      </w:r>
    </w:p>
    <w:p>
      <w:r>
        <w:t>対応：ピークカット施策／稼働計画の週次レビュー。</w:t>
      </w:r>
    </w:p>
    <w:p>
      <w:r>
        <w:t>承認：製造管理部長（印）／経理部長（印）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