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Highlights</w:t>
      </w:r>
    </w:p>
    <w:p>
      <w:pPr>
        <w:pStyle w:val="ListBullet"/>
      </w:pPr>
      <w:r>
        <w:t>Reproducible workflow to detect cycling-infrastructure change from OSM snapshots.</w:t>
      </w:r>
    </w:p>
    <w:p>
      <w:pPr>
        <w:pStyle w:val="ListBullet"/>
      </w:pPr>
      <w:r>
        <w:t>Stratified GSV validation across 1,063 Barcelona census tracts.</w:t>
      </w:r>
    </w:p>
    <w:p>
      <w:pPr>
        <w:pStyle w:val="ListBullet"/>
      </w:pPr>
      <w:r>
        <w:t>OSM suggests an 80% cycling-network increase (130.7 km to 235.7 km).</w:t>
      </w:r>
    </w:p>
    <w:p>
      <w:pPr>
        <w:pStyle w:val="ListBullet"/>
      </w:pPr>
      <w:r>
        <w:t>Additions show high recall (0.96) and good precision (0.82) in GSV validation.</w:t>
      </w:r>
    </w:p>
    <w:p>
      <w:pPr>
        <w:pStyle w:val="ListBullet"/>
      </w:pPr>
      <w:r>
        <w:t>Removals: recall 1.00 but precision 0.20, suggesting mapping artefacts.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