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pPr>
      <w:r>
        <w:rPr/>
        <w:t>Annex S1. Google Street View validation protocol</w:t>
      </w:r>
    </w:p>
    <w:p>
      <w:pPr>
        <w:pStyle w:val="Heading2"/>
        <w:spacing w:before="480" w:after="283"/>
        <w:rPr/>
      </w:pPr>
      <w:r>
        <w:rPr>
          <w:rStyle w:val="Strong"/>
          <w:rFonts w:eastAsia="" w:cs="" w:ascii="Cambria" w:hAnsi="Cambria" w:asciiTheme="minorHAnsi" w:cstheme="minorBidi" w:eastAsiaTheme="minorEastAsia" w:hAnsiTheme="minorHAnsi"/>
          <w:b/>
          <w:bCs/>
          <w:color w:val="auto"/>
          <w:kern w:val="0"/>
          <w:sz w:val="22"/>
          <w:szCs w:val="22"/>
          <w:lang w:val="en-US" w:eastAsia="en-US" w:bidi="ar-SA"/>
        </w:rPr>
        <w:t>Overview</w:t>
      </w:r>
    </w:p>
    <w:p>
      <w:pPr>
        <w:pStyle w:val="BodyText"/>
        <w:rPr/>
      </w:pPr>
      <w:r>
        <w:rPr/>
        <w:t>Coders review each sampled location in Google Street View (GSV) to determine whether cycling infrastructure is present around the follow-up date (approximately 1 January 2024) and the baseline date (approximately 1 January 2016). Coding is carried out in two identical raw validation workbooks (one per coder), which contain pre-filled identifiers and calculated fields. Only the cells in coloured columns are editable; all other cells contain formulas or identifiers.</w:t>
      </w:r>
    </w:p>
    <w:p>
      <w:pPr>
        <w:pStyle w:val="BodyText"/>
        <w:widowControl/>
        <w:suppressAutoHyphens w:val="true"/>
        <w:bidi w:val="0"/>
        <w:spacing w:lineRule="auto" w:line="276"/>
        <w:jc w:val="left"/>
        <w:rPr/>
      </w:pPr>
      <w:r>
        <w:rPr>
          <w:b/>
          <w:bCs/>
        </w:rPr>
        <w:t>Cycling-infrastructure definition.</w:t>
      </w:r>
      <w:r>
        <w:rPr/>
        <w:t xml:space="preserve"> Coders should identify cycling infrastructure as a physically visible, dedicated facility for cycling. This includes </w:t>
      </w:r>
    </w:p>
    <w:p>
      <w:pPr>
        <w:pStyle w:val="BodyText"/>
        <w:widowControl/>
        <w:suppressAutoHyphens w:val="true"/>
        <w:bidi w:val="0"/>
        <w:spacing w:lineRule="auto" w:line="276"/>
        <w:jc w:val="left"/>
        <w:rPr/>
      </w:pPr>
      <w:r>
        <w:rPr/>
        <w:t xml:space="preserve">(i) a dedicated cycleway alignment, or </w:t>
      </w:r>
    </w:p>
    <w:p>
      <w:pPr>
        <w:pStyle w:val="BodyText"/>
        <w:widowControl/>
        <w:suppressAutoHyphens w:val="true"/>
        <w:bidi w:val="0"/>
        <w:spacing w:lineRule="auto" w:line="276"/>
        <w:jc w:val="left"/>
        <w:rPr/>
      </w:pPr>
      <w:r>
        <w:rPr/>
        <w:t>(ii) a cycle lane or cycle track, whether on the carriageway or on the pavement, either painted or physically separated, including contraflow lanes.</w:t>
      </w:r>
    </w:p>
    <w:p>
      <w:pPr>
        <w:pStyle w:val="BodyText"/>
        <w:widowControl/>
        <w:suppressAutoHyphens w:val="true"/>
        <w:bidi w:val="0"/>
        <w:spacing w:lineRule="auto" w:line="276"/>
        <w:jc w:val="left"/>
        <w:rPr/>
      </w:pPr>
      <w:r>
        <w:rPr/>
        <w:t>Cycling is not coded as infrastructure when it is merely permitted or prioritised without a dedicated facility, for example bicycle streets, shared streets, pedestrian streets with bicycle access, traffic calming measures, or signage alone.</w:t>
      </w:r>
    </w:p>
    <w:p>
      <w:pPr>
        <w:pStyle w:val="Heading2"/>
        <w:widowControl/>
        <w:suppressAutoHyphens w:val="true"/>
        <w:bidi w:val="0"/>
        <w:spacing w:lineRule="auto" w:line="276"/>
        <w:jc w:val="left"/>
        <w:rPr/>
      </w:pPr>
      <w:r>
        <w:rPr>
          <w:rStyle w:val="Strong"/>
          <w:rFonts w:eastAsia="" w:cs="" w:ascii="Cambria" w:hAnsi="Cambria" w:asciiTheme="minorHAnsi" w:cstheme="minorBidi" w:eastAsiaTheme="minorEastAsia" w:hAnsiTheme="minorHAnsi"/>
          <w:b/>
          <w:bCs/>
          <w:color w:val="auto"/>
          <w:kern w:val="0"/>
          <w:sz w:val="22"/>
          <w:szCs w:val="22"/>
          <w:lang w:val="en-US" w:eastAsia="en-US" w:bidi="ar-SA"/>
        </w:rPr>
        <w:t>Data entry structure</w:t>
      </w:r>
    </w:p>
    <w:p>
      <w:pPr>
        <w:pStyle w:val="Heading3"/>
        <w:spacing w:before="200" w:after="283"/>
        <w:rPr/>
      </w:pPr>
      <w:r>
        <w:rPr>
          <w:rStyle w:val="Strong"/>
          <w:b/>
          <w:bCs/>
        </w:rPr>
        <w:t>Blue columns → main years (presence: 1/0/blank; month: 1–12)</w:t>
      </w:r>
    </w:p>
    <w:p>
      <w:pPr>
        <w:pStyle w:val="BodyText"/>
        <w:rPr/>
      </w:pPr>
      <w:r>
        <w:rPr>
          <w:rStyle w:val="Strong"/>
          <w:b w:val="false"/>
          <w:bCs w:val="false"/>
        </w:rPr>
        <w:t>For each year, coders record whether cycling infrastructure is present (1), absent (0), or not interpretable (blank), together with the month of the imagery shown in GSV. When more than one GSV image is available for the same year at a location, coders should use the image whose month is closest to the reference date.</w:t>
      </w:r>
    </w:p>
    <w:p>
      <w:pPr>
        <w:pStyle w:val="BodyText"/>
        <w:rPr/>
      </w:pPr>
      <w:r>
        <w:rPr>
          <w:rStyle w:val="Strong"/>
        </w:rPr>
        <w:t>Follow-up</w:t>
      </w:r>
      <w:r>
        <w:rPr/>
        <w:br/>
        <w:t xml:space="preserve">• </w:t>
      </w:r>
      <w:r>
        <w:rPr>
          <w:rStyle w:val="Strong"/>
        </w:rPr>
        <w:t>2024 (</w:t>
      </w:r>
      <w:r>
        <w:rPr>
          <w:rStyle w:val="SourceText"/>
          <w:rFonts w:eastAsia="" w:cs="" w:cstheme="minorBidi" w:eastAsiaTheme="minorEastAsia"/>
          <w:color w:val="auto"/>
          <w:kern w:val="0"/>
          <w:sz w:val="22"/>
          <w:szCs w:val="22"/>
          <w:lang w:val="en-US" w:eastAsia="en-US" w:bidi="ar-SA"/>
        </w:rPr>
        <w:t>pres24, mon24</w:t>
      </w:r>
      <w:r>
        <w:rPr>
          <w:rStyle w:val="Strong"/>
        </w:rPr>
        <w:t>)</w:t>
      </w:r>
      <w:r>
        <w:rPr/>
        <w:t xml:space="preserve">: </w:t>
      </w:r>
      <w:r>
        <w:rPr>
          <w:b w:val="false"/>
          <w:bCs w:val="false"/>
        </w:rPr>
        <w:t>fill if interpretable. If the view is unclear, or if the requested year is not available at that viewpoint, try moving the peg slightly along the same street to reveal 2024 imagery, but only to a point where the original location remains visible. If the peg cannot be moved and 2024 imagery cannot be interpreted, leave these cells blank.</w:t>
      </w:r>
      <w:r>
        <w:rPr/>
        <w:br/>
        <w:t xml:space="preserve">• </w:t>
      </w:r>
      <w:r>
        <w:rPr>
          <w:rStyle w:val="Strong"/>
        </w:rPr>
        <w:t>2023 (</w:t>
      </w:r>
      <w:r>
        <w:rPr>
          <w:rStyle w:val="SourceText"/>
          <w:rFonts w:eastAsia="" w:cs="" w:cstheme="minorBidi" w:eastAsiaTheme="minorEastAsia"/>
          <w:color w:val="auto"/>
          <w:kern w:val="0"/>
          <w:sz w:val="22"/>
          <w:szCs w:val="22"/>
          <w:lang w:val="en-US" w:eastAsia="en-US" w:bidi="ar-SA"/>
        </w:rPr>
        <w:t>pres23, mon23</w:t>
      </w:r>
      <w:r>
        <w:rPr>
          <w:rStyle w:val="Strong"/>
        </w:rPr>
        <w:t>)</w:t>
      </w:r>
      <w:r>
        <w:rPr/>
        <w:t>: same rule.</w:t>
        <w:br/>
        <w:t>If both years remain uninterpretable (including cases where the peg cannot be moved or year selection is unavailable), leave them blank and use the fallback year.</w:t>
      </w:r>
    </w:p>
    <w:p>
      <w:pPr>
        <w:pStyle w:val="BodyText"/>
        <w:rPr/>
      </w:pPr>
      <w:r>
        <w:rPr>
          <w:rStyle w:val="Strong"/>
        </w:rPr>
        <w:t xml:space="preserve">Baseline </w:t>
      </w:r>
      <w:r>
        <w:rPr/>
        <w:br/>
        <w:t xml:space="preserve">• </w:t>
      </w:r>
      <w:r>
        <w:rPr>
          <w:rStyle w:val="Strong"/>
        </w:rPr>
        <w:t>2016 (</w:t>
      </w:r>
      <w:r>
        <w:rPr>
          <w:rStyle w:val="SourceText"/>
          <w:rFonts w:eastAsia="" w:cs="" w:cstheme="minorBidi" w:eastAsiaTheme="minorEastAsia"/>
          <w:color w:val="auto"/>
          <w:kern w:val="0"/>
          <w:sz w:val="22"/>
          <w:szCs w:val="22"/>
          <w:lang w:val="en-US" w:eastAsia="en-US" w:bidi="ar-SA"/>
        </w:rPr>
        <w:t>pres16, mon16</w:t>
      </w:r>
      <w:r>
        <w:rPr>
          <w:rStyle w:val="Strong"/>
        </w:rPr>
        <w:t>)</w:t>
      </w:r>
      <w:r>
        <w:rPr/>
        <w:t xml:space="preserve">: </w:t>
      </w:r>
      <w:r>
        <w:rPr>
          <w:b w:val="false"/>
          <w:bCs w:val="false"/>
        </w:rPr>
        <w:t>fill if interpretable. If the view is unclear, or if the requested year is not available at that viewpoint, try moving the peg slightly along the same street to reveal 2016 imagery, but only to a point where the original location remains visible. If the peg cannot be moved or 2016 imagery cannot be interpreted, leave these cells blank.</w:t>
      </w:r>
      <w:r>
        <w:rPr/>
        <w:br/>
        <w:t xml:space="preserve">• </w:t>
      </w:r>
      <w:r>
        <w:rPr>
          <w:rStyle w:val="Strong"/>
        </w:rPr>
        <w:t>2015 (</w:t>
      </w:r>
      <w:r>
        <w:rPr>
          <w:rStyle w:val="SourceText"/>
          <w:rFonts w:eastAsia="" w:cs="" w:cstheme="minorBidi" w:eastAsiaTheme="minorEastAsia"/>
          <w:color w:val="auto"/>
          <w:kern w:val="0"/>
          <w:sz w:val="22"/>
          <w:szCs w:val="22"/>
          <w:lang w:val="en-US" w:eastAsia="en-US" w:bidi="ar-SA"/>
        </w:rPr>
        <w:t>pres15, mon15</w:t>
      </w:r>
      <w:r>
        <w:rPr>
          <w:rStyle w:val="Strong"/>
        </w:rPr>
        <w:t>)</w:t>
      </w:r>
      <w:r>
        <w:rPr/>
        <w:t>: same rule.</w:t>
        <w:br/>
        <w:t>If both years remain uninterpretable (including cases where the peg cannot be moved or year selection is unavailable), leave them blank and use the fallback year.</w:t>
      </w:r>
    </w:p>
    <w:p>
      <w:pPr>
        <w:pStyle w:val="Heading3"/>
        <w:spacing w:before="200" w:after="283"/>
        <w:rPr/>
      </w:pPr>
      <w:r>
        <w:rPr>
          <w:rStyle w:val="Strong"/>
          <w:b/>
          <w:bCs/>
        </w:rPr>
        <w:t>Yellow columns → fallback years</w:t>
      </w:r>
    </w:p>
    <w:p>
      <w:pPr>
        <w:pStyle w:val="BodyText"/>
        <w:rPr/>
      </w:pPr>
      <w:r>
        <w:rPr/>
        <w:t>Used only when both main years for that period (follow-up or baseline) cannot be interpreted, even after a small peg adjustment (or when no adjustment is possible).</w:t>
      </w:r>
    </w:p>
    <w:p>
      <w:pPr>
        <w:pStyle w:val="BodyText"/>
        <w:rPr/>
      </w:pPr>
      <w:r>
        <w:rPr/>
        <w:t xml:space="preserve">• </w:t>
      </w:r>
      <w:r>
        <w:rPr>
          <w:rStyle w:val="Strong"/>
        </w:rPr>
        <w:t>Follow-up fallback (2022):</w:t>
      </w:r>
      <w:r>
        <w:rPr/>
        <w:t xml:space="preserve"> </w:t>
      </w:r>
      <w:r>
        <w:rPr>
          <w:rStyle w:val="SourceText"/>
        </w:rPr>
        <w:t>pres22</w:t>
      </w:r>
      <w:r>
        <w:rPr/>
        <w:t xml:space="preserve">, </w:t>
      </w:r>
      <w:r>
        <w:rPr>
          <w:rStyle w:val="SourceText"/>
        </w:rPr>
        <w:t>mon22</w:t>
      </w:r>
      <w:r>
        <w:rPr/>
        <w:br/>
        <w:t xml:space="preserve">• </w:t>
      </w:r>
      <w:r>
        <w:rPr>
          <w:rStyle w:val="Strong"/>
        </w:rPr>
        <w:t>Baseline fallback (2014):</w:t>
      </w:r>
      <w:r>
        <w:rPr/>
        <w:t xml:space="preserve"> </w:t>
      </w:r>
      <w:r>
        <w:rPr>
          <w:rStyle w:val="SourceText"/>
        </w:rPr>
        <w:t>pres14</w:t>
      </w:r>
      <w:r>
        <w:rPr/>
        <w:t xml:space="preserve">, </w:t>
      </w:r>
      <w:r>
        <w:rPr>
          <w:rStyle w:val="SourceText"/>
        </w:rPr>
        <w:t>mon14</w:t>
      </w:r>
    </w:p>
    <w:p>
      <w:pPr>
        <w:pStyle w:val="BodyText"/>
        <w:rPr/>
      </w:pPr>
      <w:r>
        <w:rPr/>
        <w:t>If at least one main year is usable, leave fallback cells empty. If the fallback year is also not interpretable, leave fallback cells blank.</w:t>
      </w:r>
    </w:p>
    <w:p>
      <w:pPr>
        <w:pStyle w:val="Heading3"/>
        <w:spacing w:before="200" w:after="283"/>
        <w:rPr/>
      </w:pPr>
      <w:r>
        <w:rPr>
          <w:rStyle w:val="Strong"/>
          <w:b/>
          <w:bCs/>
        </w:rPr>
        <w:t>Green column → notes</w:t>
      </w:r>
    </w:p>
    <w:p>
      <w:pPr>
        <w:pStyle w:val="BodyText"/>
        <w:spacing w:before="0" w:after="120"/>
        <w:rPr/>
      </w:pPr>
      <w:r>
        <w:rPr/>
        <w:t>Brief notes should be recorded whenever something affects interpretation (for example peg movement, inability to move the peg, missing year options, blurred imagery, temporary works, apparent OSM realignments, or other ambiguous situations). Notes are not required when imagery is clear and straightforward.</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Application>LibreOffice/24.2.7.2$Linux_X86_64 LibreOffice_project/420$Build-2</Application>
  <AppVersion>15.0000</AppVersion>
  <Pages>2</Pages>
  <Words>530</Words>
  <Characters>2873</Characters>
  <CharactersWithSpaces>3387</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Eugeni</cp:lastModifiedBy>
  <dcterms:modified xsi:type="dcterms:W3CDTF">2026-01-19T15:26:55Z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