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/>
      </w:pPr>
      <w:r>
        <w:rPr/>
        <w:t>Annex S1. Google Street View validation protocol</w:t>
      </w:r>
    </w:p>
    <w:p>
      <w:pPr>
        <w:pStyle w:val="Heading2"/>
        <w:spacing w:before="480" w:after="283"/>
        <w:rPr/>
      </w:pPr>
      <w:r>
        <w:rPr>
          <w:rStyle w:val="Strong"/>
          <w:rFonts w:eastAsia="" w:cs="" w:ascii="Cambria" w:hAnsi="Cambria" w:asciiTheme="minorHAnsi" w:cstheme="minorBidi" w:eastAsiaTheme="minorEastAsia" w:hAnsiTheme="minorHAnsi"/>
          <w:b/>
          <w:bCs/>
          <w:color w:val="auto"/>
          <w:kern w:val="0"/>
          <w:sz w:val="22"/>
          <w:szCs w:val="22"/>
          <w:lang w:val="en-US" w:eastAsia="en-US" w:bidi="ar-SA"/>
        </w:rPr>
        <w:t>Overview</w:t>
      </w:r>
    </w:p>
    <w:p>
      <w:pPr>
        <w:pStyle w:val="BodyText"/>
        <w:rPr/>
      </w:pPr>
      <w:r>
        <w:rPr/>
        <w:t xml:space="preserve">Coders review each sampled location in Google Street View (GSV) to determine whether cycling infrastructure is present around the follow-up date (≈ 1 January 2024) and the baseline date (≈ 1 January 2016). Only the </w:t>
      </w:r>
      <w:r>
        <w:rPr>
          <w:rStyle w:val="Strong"/>
          <w:b w:val="false"/>
          <w:bCs w:val="false"/>
        </w:rPr>
        <w:t>cells in coloured columns</w:t>
      </w:r>
      <w:r>
        <w:rPr/>
        <w:t xml:space="preserve"> are editable; all other cells contain formulas or identifiers.</w:t>
      </w:r>
    </w:p>
    <w:p>
      <w:pPr>
        <w:pStyle w:val="BodyText"/>
        <w:widowControl/>
        <w:suppressAutoHyphens w:val="true"/>
        <w:bidi w:val="0"/>
        <w:spacing w:lineRule="auto" w:line="276"/>
        <w:jc w:val="left"/>
        <w:rPr/>
      </w:pPr>
      <w:r>
        <w:rPr>
          <w:rStyle w:val="Strong"/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en-US" w:eastAsia="en-US" w:bidi="ar-SA"/>
        </w:rPr>
        <w:t>Cycling-infrastructure definition: a</w:t>
      </w:r>
      <w:r>
        <w:rPr/>
        <w:t xml:space="preserve"> dedicated cycleway, an on-road cycle lane or track, a bicycle street, or a bike-only road.</w:t>
      </w:r>
    </w:p>
    <w:p>
      <w:pPr>
        <w:pStyle w:val="Heading2"/>
        <w:widowControl/>
        <w:suppressAutoHyphens w:val="true"/>
        <w:bidi w:val="0"/>
        <w:spacing w:lineRule="auto" w:line="276"/>
        <w:jc w:val="left"/>
        <w:rPr/>
      </w:pPr>
      <w:r>
        <w:rPr>
          <w:rStyle w:val="Strong"/>
          <w:rFonts w:eastAsia="" w:cs="" w:ascii="Cambria" w:hAnsi="Cambria" w:asciiTheme="minorHAnsi" w:cstheme="minorBidi" w:eastAsiaTheme="minorEastAsia" w:hAnsiTheme="minorHAnsi"/>
          <w:b/>
          <w:bCs/>
          <w:color w:val="auto"/>
          <w:kern w:val="0"/>
          <w:sz w:val="22"/>
          <w:szCs w:val="22"/>
          <w:lang w:val="en-US" w:eastAsia="en-US" w:bidi="ar-SA"/>
        </w:rPr>
        <w:t>Data entry structure</w:t>
      </w:r>
    </w:p>
    <w:p>
      <w:pPr>
        <w:pStyle w:val="Heading3"/>
        <w:spacing w:before="200" w:after="283"/>
        <w:rPr/>
      </w:pPr>
      <w:r>
        <w:rPr>
          <w:rStyle w:val="Strong"/>
          <w:b/>
          <w:bCs/>
        </w:rPr>
        <w:t>Blue columns → main years (presence: 1/0/blank; month: 1–12)</w:t>
      </w:r>
    </w:p>
    <w:p>
      <w:pPr>
        <w:pStyle w:val="BodyText"/>
        <w:rPr/>
      </w:pPr>
      <w:r>
        <w:rPr>
          <w:rStyle w:val="Strong"/>
        </w:rPr>
        <w:t>Follow-up</w:t>
      </w:r>
      <w:r>
        <w:rPr/>
        <w:br/>
        <w:t xml:space="preserve">• </w:t>
      </w:r>
      <w:r>
        <w:rPr>
          <w:rStyle w:val="Strong"/>
        </w:rPr>
        <w:t>2024 (</w:t>
      </w:r>
      <w:r>
        <w:rPr>
          <w:rStyle w:val="SourceText"/>
          <w:rFonts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pres24, mon24</w:t>
      </w:r>
      <w:r>
        <w:rPr>
          <w:rStyle w:val="Strong"/>
        </w:rPr>
        <w:t>)</w:t>
      </w:r>
      <w:r>
        <w:rPr/>
        <w:t>: fill if interpretable; if the view is unclear, move the peg slightly along the same street to try to reveal 2024 imagery,</w:t>
      </w:r>
      <w:r>
        <w:rPr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>but only to a point where the original location remains visible</w:t>
      </w:r>
      <w:r>
        <w:rPr>
          <w:b w:val="false"/>
          <w:bCs w:val="false"/>
        </w:rPr>
        <w:t>.</w:t>
      </w:r>
      <w:r>
        <w:rPr/>
        <w:br/>
        <w:t xml:space="preserve">• </w:t>
      </w:r>
      <w:r>
        <w:rPr>
          <w:rStyle w:val="Strong"/>
        </w:rPr>
        <w:t>2023 (</w:t>
      </w:r>
      <w:r>
        <w:rPr>
          <w:rStyle w:val="SourceText"/>
          <w:rFonts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pres23, mon23</w:t>
      </w:r>
      <w:r>
        <w:rPr>
          <w:rStyle w:val="Strong"/>
        </w:rPr>
        <w:t>)</w:t>
      </w:r>
      <w:r>
        <w:rPr/>
        <w:t>: same rule.</w:t>
        <w:br/>
        <w:t xml:space="preserve">If </w:t>
      </w:r>
      <w:r>
        <w:rPr>
          <w:rStyle w:val="Strong"/>
          <w:b w:val="false"/>
          <w:bCs w:val="false"/>
        </w:rPr>
        <w:t>both</w:t>
      </w:r>
      <w:r>
        <w:rPr/>
        <w:t xml:space="preserve"> years remain uninterpretable after this small adjustment → leave them blank and use the fallback year.</w:t>
      </w:r>
    </w:p>
    <w:p>
      <w:pPr>
        <w:pStyle w:val="BodyText"/>
        <w:rPr/>
      </w:pPr>
      <w:r>
        <w:rPr>
          <w:rStyle w:val="Strong"/>
        </w:rPr>
        <w:t xml:space="preserve">Baseline </w:t>
      </w:r>
      <w:r>
        <w:rPr/>
        <w:br/>
        <w:t xml:space="preserve">• </w:t>
      </w:r>
      <w:r>
        <w:rPr>
          <w:rStyle w:val="Strong"/>
        </w:rPr>
        <w:t>2016 (</w:t>
      </w:r>
      <w:r>
        <w:rPr>
          <w:rStyle w:val="SourceText"/>
          <w:rFonts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pres16, mon16</w:t>
      </w:r>
      <w:r>
        <w:rPr>
          <w:rStyle w:val="Strong"/>
        </w:rPr>
        <w:t>)</w:t>
      </w:r>
      <w:r>
        <w:rPr/>
        <w:t xml:space="preserve">: fill if interpretable; if the view is unclear, move the peg slightly along the same street to try to reveal 2016 imagery, </w:t>
      </w:r>
      <w:r>
        <w:rPr>
          <w:rStyle w:val="Strong"/>
          <w:b w:val="false"/>
          <w:bCs w:val="false"/>
        </w:rPr>
        <w:t>but only to a point where the original location remains visible</w:t>
      </w:r>
      <w:r>
        <w:rPr>
          <w:b w:val="false"/>
          <w:bCs w:val="false"/>
        </w:rPr>
        <w:t>.</w:t>
      </w:r>
      <w:r>
        <w:rPr/>
        <w:br/>
        <w:t xml:space="preserve">• </w:t>
      </w:r>
      <w:r>
        <w:rPr>
          <w:rStyle w:val="Strong"/>
        </w:rPr>
        <w:t>2015 (</w:t>
      </w:r>
      <w:r>
        <w:rPr>
          <w:rStyle w:val="SourceText"/>
          <w:rFonts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pres15, mon15</w:t>
      </w:r>
      <w:r>
        <w:rPr>
          <w:rStyle w:val="Strong"/>
        </w:rPr>
        <w:t>)</w:t>
      </w:r>
      <w:r>
        <w:rPr/>
        <w:t>: same rule.</w:t>
        <w:br/>
        <w:t xml:space="preserve">If </w:t>
      </w:r>
      <w:r>
        <w:rPr>
          <w:rStyle w:val="Strong"/>
          <w:b w:val="false"/>
          <w:bCs w:val="false"/>
        </w:rPr>
        <w:t>both</w:t>
      </w:r>
      <w:r>
        <w:rPr>
          <w:b w:val="false"/>
          <w:bCs w:val="false"/>
        </w:rPr>
        <w:t xml:space="preserve"> </w:t>
      </w:r>
      <w:r>
        <w:rPr/>
        <w:t>years remain uninterpretable → leave them blank and use the fallback year.</w:t>
      </w:r>
    </w:p>
    <w:p>
      <w:pPr>
        <w:pStyle w:val="Heading3"/>
        <w:spacing w:before="200" w:after="283"/>
        <w:rPr/>
      </w:pPr>
      <w:r>
        <w:rPr>
          <w:rStyle w:val="Strong"/>
          <w:b/>
          <w:bCs/>
        </w:rPr>
        <w:t>Yellow columns → fallback years</w:t>
      </w:r>
    </w:p>
    <w:p>
      <w:pPr>
        <w:pStyle w:val="BodyText"/>
        <w:rPr/>
      </w:pPr>
      <w:r>
        <w:rPr/>
        <w:t xml:space="preserve">Used </w:t>
      </w:r>
      <w:r>
        <w:rPr>
          <w:rStyle w:val="Strong"/>
          <w:b w:val="false"/>
          <w:bCs w:val="false"/>
        </w:rPr>
        <w:t>only when both main years for that period cannot be interpreted</w:t>
      </w:r>
      <w:r>
        <w:rPr>
          <w:b w:val="false"/>
          <w:bCs w:val="false"/>
        </w:rPr>
        <w:t>,</w:t>
      </w:r>
      <w:r>
        <w:rPr/>
        <w:t xml:space="preserve"> even after a small peg adjustment.</w:t>
      </w:r>
    </w:p>
    <w:p>
      <w:pPr>
        <w:pStyle w:val="BodyText"/>
        <w:rPr/>
      </w:pPr>
      <w:r>
        <w:rPr/>
        <w:t xml:space="preserve">• </w:t>
      </w:r>
      <w:r>
        <w:rPr>
          <w:rStyle w:val="Strong"/>
        </w:rPr>
        <w:t>Follow-up fallback (2022):</w:t>
      </w:r>
      <w:r>
        <w:rPr/>
        <w:t xml:space="preserve"> </w:t>
      </w:r>
      <w:r>
        <w:rPr>
          <w:rStyle w:val="SourceText"/>
        </w:rPr>
        <w:t>pres22</w:t>
      </w:r>
      <w:r>
        <w:rPr/>
        <w:t xml:space="preserve">, </w:t>
      </w:r>
      <w:r>
        <w:rPr>
          <w:rStyle w:val="SourceText"/>
        </w:rPr>
        <w:t>mon22</w:t>
      </w:r>
      <w:r>
        <w:rPr/>
        <w:br/>
        <w:t xml:space="preserve">• </w:t>
      </w:r>
      <w:r>
        <w:rPr>
          <w:rStyle w:val="Strong"/>
        </w:rPr>
        <w:t>Baseline fallback (2014):</w:t>
      </w:r>
      <w:r>
        <w:rPr/>
        <w:t xml:space="preserve"> </w:t>
      </w:r>
      <w:r>
        <w:rPr>
          <w:rStyle w:val="SourceText"/>
        </w:rPr>
        <w:t>pres14</w:t>
      </w:r>
      <w:r>
        <w:rPr/>
        <w:t xml:space="preserve">, </w:t>
      </w:r>
      <w:r>
        <w:rPr>
          <w:rStyle w:val="SourceText"/>
        </w:rPr>
        <w:t>mon14</w:t>
      </w:r>
    </w:p>
    <w:p>
      <w:pPr>
        <w:pStyle w:val="BodyText"/>
        <w:rPr/>
      </w:pPr>
      <w:r>
        <w:rPr/>
        <w:t>If at least one main year is usable, leave fallback cells empty.</w:t>
      </w:r>
    </w:p>
    <w:p>
      <w:pPr>
        <w:pStyle w:val="Heading3"/>
        <w:spacing w:before="200" w:after="283"/>
        <w:rPr/>
      </w:pPr>
      <w:r>
        <w:rPr>
          <w:rStyle w:val="Strong"/>
          <w:b/>
          <w:bCs/>
        </w:rPr>
        <w:t>Green column → notes</w:t>
      </w:r>
    </w:p>
    <w:p>
      <w:pPr>
        <w:pStyle w:val="BodyText"/>
        <w:spacing w:before="0" w:after="120"/>
        <w:rPr/>
      </w:pPr>
      <w:r>
        <w:rPr/>
        <w:t>Optional brief notes when something affects interpretation (peg movement, blurred imagery, temporary works, ambiguous cases).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LibreOffice/24.2.7.2$Linux_X86_64 LibreOffice_project/420$Build-2</Application>
  <AppVersion>15.0000</AppVersion>
  <Pages>1</Pages>
  <Words>273</Words>
  <Characters>1439</Characters>
  <CharactersWithSpaces>1698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>Eugeni Vidal Tortosa</cp:lastModifiedBy>
  <dcterms:modified xsi:type="dcterms:W3CDTF">2025-12-07T18:08:19Z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