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Annex S1. Google Street View Coding Protocol</w:t>
      </w:r>
    </w:p>
    <w:p>
      <w:pPr>
        <w:pStyle w:val="BodyText"/>
        <w:rPr/>
      </w:pPr>
      <w:r>
        <w:rPr/>
        <w:t>This protocol documents how Google Street View (GSV) is used to validate OSM-detected cycling-infrastructure changes between 2015 and 2023. Two coders independently assess each sampled location using the Excel workbook</w:t>
      </w:r>
      <w:r>
        <w:rPr/>
        <w:t>s</w:t>
      </w:r>
      <w:r>
        <w:rPr/>
        <w:t xml:space="preserve"> provided in Supplement S2, after which disagreements are adjudicated.</w:t>
      </w:r>
    </w:p>
    <w:p>
      <w:pPr>
        <w:pStyle w:val="Heading1"/>
        <w:rPr/>
      </w:pPr>
      <w:r>
        <w:rPr/>
        <w:t>1. Fields coders must complete</w:t>
      </w:r>
    </w:p>
    <w:p>
      <w:pPr>
        <w:pStyle w:val="BodyText"/>
        <w:rPr/>
      </w:pPr>
      <w:r>
        <w:rPr/>
        <w:t>Coders fill only the following columns:</w:t>
      </w:r>
    </w:p>
    <w:p>
      <w:pPr>
        <w:pStyle w:val="BodyText"/>
        <w:numPr>
          <w:ilvl w:val="0"/>
          <w:numId w:val="11"/>
        </w:numPr>
        <w:rPr/>
      </w:pPr>
      <w:r>
        <w:rPr>
          <w:rStyle w:val="Strong"/>
        </w:rPr>
        <w:t>present_2023, present_2024, present_2022</w:t>
      </w:r>
    </w:p>
    <w:p>
      <w:pPr>
        <w:pStyle w:val="BodyText"/>
        <w:numPr>
          <w:ilvl w:val="0"/>
          <w:numId w:val="11"/>
        </w:numPr>
        <w:rPr/>
      </w:pPr>
      <w:r>
        <w:rPr>
          <w:rStyle w:val="Strong"/>
        </w:rPr>
        <w:t>present_2015, present_2014, present_2016</w:t>
      </w:r>
    </w:p>
    <w:p>
      <w:pPr>
        <w:pStyle w:val="BodyText"/>
        <w:numPr>
          <w:ilvl w:val="0"/>
          <w:numId w:val="11"/>
        </w:numPr>
        <w:rPr/>
      </w:pPr>
      <w:r>
        <w:rPr>
          <w:rStyle w:val="Strong"/>
        </w:rPr>
        <w:t>notes</w:t>
      </w:r>
    </w:p>
    <w:p>
      <w:pPr>
        <w:pStyle w:val="BodyText"/>
        <w:rPr/>
      </w:pPr>
      <w:r>
        <w:rPr/>
        <w:t>Allowed values: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1</w:t>
      </w:r>
      <w:r>
        <w:rPr/>
        <w:t xml:space="preserve"> = cycling infrastructure clearly visible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0</w:t>
      </w:r>
      <w:r>
        <w:rPr/>
        <w:t xml:space="preserve"> = clearly absent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blank</w:t>
      </w:r>
      <w:r>
        <w:rPr/>
        <w:t xml:space="preserve"> = cannot be judged → treated as NA</w:t>
      </w:r>
    </w:p>
    <w:p>
      <w:pPr>
        <w:pStyle w:val="BodyText"/>
        <w:rPr/>
      </w:pPr>
      <w:r>
        <w:rPr/>
        <w:t xml:space="preserve">Coders do </w:t>
      </w:r>
      <w:r>
        <w:rPr>
          <w:rStyle w:val="Strong"/>
        </w:rPr>
        <w:t>not</w:t>
      </w:r>
      <w:r>
        <w:rPr/>
        <w:t xml:space="preserve"> edit any other columns.</w:t>
      </w:r>
    </w:p>
    <w:p>
      <w:pPr>
        <w:pStyle w:val="Heading1"/>
        <w:rPr/>
      </w:pPr>
      <w:r>
        <w:rPr/>
        <w:t>2. How to code the follow-up period (≈2023)</w:t>
      </w:r>
    </w:p>
    <w:p>
      <w:pPr>
        <w:pStyle w:val="BodyText"/>
        <w:numPr>
          <w:ilvl w:val="0"/>
          <w:numId w:val="12"/>
        </w:numPr>
        <w:rPr/>
      </w:pPr>
      <w:r>
        <w:rPr/>
        <w:t xml:space="preserve">Open the </w:t>
      </w:r>
      <w:r>
        <w:rPr>
          <w:rStyle w:val="Strong"/>
        </w:rPr>
        <w:t>2023</w:t>
      </w:r>
      <w:r>
        <w:rPr/>
        <w:t xml:space="preserve"> panorama at the sampled coordinate.</w:t>
      </w:r>
    </w:p>
    <w:p>
      <w:pPr>
        <w:pStyle w:val="BodyText"/>
        <w:numPr>
          <w:ilvl w:val="0"/>
          <w:numId w:val="12"/>
        </w:numPr>
        <w:rPr/>
      </w:pPr>
      <w:r>
        <w:rPr/>
        <w:t>If the view is not usable (blurred, obstructed, wrong orientation), move the peg along the same street segment.</w:t>
      </w:r>
    </w:p>
    <w:p>
      <w:pPr>
        <w:pStyle w:val="BodyText"/>
        <w:numPr>
          <w:ilvl w:val="0"/>
          <w:numId w:val="12"/>
        </w:numPr>
        <w:rPr/>
      </w:pPr>
      <w:r>
        <w:rPr/>
        <w:t xml:space="preserve">If it still cannot be coded → leave </w:t>
      </w:r>
      <w:r>
        <w:rPr>
          <w:rStyle w:val="Strong"/>
        </w:rPr>
        <w:t>present_2023</w:t>
      </w:r>
      <w:r>
        <w:rPr/>
        <w:t xml:space="preserve"> blank (NA).</w:t>
      </w:r>
    </w:p>
    <w:p>
      <w:pPr>
        <w:pStyle w:val="BodyText"/>
        <w:numPr>
          <w:ilvl w:val="0"/>
          <w:numId w:val="12"/>
        </w:numPr>
        <w:rPr/>
      </w:pPr>
      <w:r>
        <w:rPr>
          <w:rStyle w:val="Strong"/>
        </w:rPr>
        <w:t>If 2023 is NA, check 2024 → then 2022</w:t>
      </w:r>
      <w:r>
        <w:rPr/>
        <w:t>, stopping at the first year that gives a clear result.</w:t>
      </w:r>
    </w:p>
    <w:p>
      <w:pPr>
        <w:pStyle w:val="BodyText"/>
        <w:numPr>
          <w:ilvl w:val="0"/>
          <w:numId w:val="12"/>
        </w:numPr>
        <w:rPr/>
      </w:pPr>
      <w:r>
        <w:rPr/>
        <w:t xml:space="preserve">Record </w:t>
      </w:r>
      <w:r>
        <w:rPr>
          <w:rStyle w:val="Strong"/>
        </w:rPr>
        <w:t>1 or 0</w:t>
      </w:r>
      <w:r>
        <w:rPr/>
        <w:t xml:space="preserve"> for the first usable year.</w:t>
      </w:r>
    </w:p>
    <w:p>
      <w:pPr>
        <w:pStyle w:val="BodyText"/>
        <w:numPr>
          <w:ilvl w:val="0"/>
          <w:numId w:val="12"/>
        </w:numPr>
        <w:rPr/>
      </w:pPr>
      <w:r>
        <w:rPr/>
        <w:t>If none of the years can be interpreted → the entire follow-up block is NA.</w:t>
      </w:r>
    </w:p>
    <w:p>
      <w:pPr>
        <w:pStyle w:val="BodyText"/>
        <w:rPr/>
      </w:pPr>
      <w:r>
        <w:rPr/>
        <w:t xml:space="preserve">Neighbour years are used </w:t>
      </w:r>
      <w:r>
        <w:rPr>
          <w:rStyle w:val="Strong"/>
        </w:rPr>
        <w:t>only</w:t>
      </w:r>
      <w:r>
        <w:rPr/>
        <w:t xml:space="preserve"> when the anchor year is missing or unclear.</w:t>
      </w:r>
    </w:p>
    <w:p>
      <w:pPr>
        <w:pStyle w:val="Heading1"/>
        <w:rPr/>
      </w:pPr>
      <w:r>
        <w:rPr/>
        <w:t>3. How to code the baseline period (≈2015)</w:t>
      </w:r>
    </w:p>
    <w:p>
      <w:pPr>
        <w:pStyle w:val="BodyText"/>
        <w:rPr/>
      </w:pPr>
      <w:r>
        <w:rPr/>
        <w:t>Same rules apply: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Start with </w:t>
      </w:r>
      <w:r>
        <w:rPr>
          <w:rStyle w:val="Strong"/>
        </w:rPr>
        <w:t>2015</w:t>
      </w:r>
      <w:r>
        <w:rPr/>
        <w:t>; reposition peg if needed.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If 2015 is NA, check </w:t>
      </w:r>
      <w:r>
        <w:rPr>
          <w:rStyle w:val="Strong"/>
        </w:rPr>
        <w:t>2014 → then 2016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Record the first year that clearly shows presence (1) or absence (0).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If none can be judged → baseline block is NA.</w:t>
      </w:r>
    </w:p>
    <w:p>
      <w:pPr>
        <w:pStyle w:val="Heading1"/>
        <w:rPr/>
      </w:pPr>
      <w:r>
        <w:rPr/>
        <w:t>4. Notes</w:t>
      </w:r>
    </w:p>
    <w:p>
      <w:pPr>
        <w:pStyle w:val="BodyText"/>
        <w:rPr/>
      </w:pPr>
      <w:r>
        <w:rPr/>
        <w:t xml:space="preserve">Use the </w:t>
      </w:r>
      <w:r>
        <w:rPr>
          <w:rStyle w:val="Strong"/>
        </w:rPr>
        <w:t>notes</w:t>
      </w:r>
      <w:r>
        <w:rPr/>
        <w:t xml:space="preserve"> column to briefly record information that affects interpretation, including: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peg movement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blurred, obstructed, or low-quality imagery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years where the infrastructure first appears / disappears (e.g. “appears 2022”)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road works, resurfacing, or temporary alterations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uncertain or borderline situations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realignments</w:t>
      </w:r>
      <w:r>
        <w:rPr/>
        <w:t>: cases where the facility moves laterally (carriageway ↔ pavement) but remains the same segment</w:t>
      </w:r>
    </w:p>
    <w:p>
      <w:pPr>
        <w:pStyle w:val="BodyText"/>
        <w:rPr/>
      </w:pPr>
      <w:r>
        <w:rPr/>
        <w:t>Notes support consistent adjudication; long descriptions are not required.</w:t>
      </w:r>
    </w:p>
    <w:p>
      <w:pPr>
        <w:pStyle w:val="Heading1"/>
        <w:rPr/>
      </w:pPr>
      <w:r>
        <w:rPr/>
        <w:t>5. Final ground truth (adjudication)</w:t>
      </w:r>
    </w:p>
    <w:p>
      <w:pPr>
        <w:pStyle w:val="BodyText"/>
        <w:rPr/>
      </w:pPr>
      <w:r>
        <w:rPr/>
        <w:t xml:space="preserve">After both coders finish their independent coding, the research team reviews </w:t>
      </w:r>
      <w:r>
        <w:rPr>
          <w:rStyle w:val="Strong"/>
        </w:rPr>
        <w:t>only cases where the two coders differ</w:t>
      </w:r>
      <w:r>
        <w:rPr/>
        <w:t>.</w:t>
      </w:r>
    </w:p>
    <w:p>
      <w:pPr>
        <w:pStyle w:val="BodyText"/>
        <w:rPr/>
      </w:pPr>
      <w:r>
        <w:rPr/>
        <w:t>During adjudication, the team examines the imagery jointly and assigns: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bl_fin</w:t>
      </w:r>
      <w:r>
        <w:rPr/>
        <w:t xml:space="preserve"> – final baseline value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fu_fin</w:t>
      </w:r>
      <w:r>
        <w:rPr/>
        <w:t xml:space="preserve"> – final follow-up value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fin_note</w:t>
      </w:r>
      <w:r>
        <w:rPr/>
        <w:t xml:space="preserve"> – optional explanation</w:t>
      </w:r>
    </w:p>
    <w:p>
      <w:pPr>
        <w:pStyle w:val="BodyText"/>
        <w:rPr/>
      </w:pPr>
      <w:r>
        <w:rPr/>
        <w:t xml:space="preserve">Valid values: </w:t>
      </w:r>
      <w:r>
        <w:rPr>
          <w:rStyle w:val="Strong"/>
        </w:rPr>
        <w:t>0</w:t>
      </w:r>
      <w:r>
        <w:rPr/>
        <w:t xml:space="preserve">, </w:t>
      </w:r>
      <w:r>
        <w:rPr>
          <w:rStyle w:val="Strong"/>
        </w:rPr>
        <w:t>1</w:t>
      </w:r>
      <w:r>
        <w:rPr/>
        <w:t xml:space="preserve">, </w:t>
      </w:r>
      <w:r>
        <w:rPr>
          <w:rStyle w:val="Strong"/>
        </w:rPr>
        <w:t>NA</w:t>
      </w:r>
    </w:p>
    <w:p>
      <w:pPr>
        <w:pStyle w:val="BodyText"/>
        <w:rPr/>
      </w:pPr>
      <w:r>
        <w:rPr>
          <w:rStyle w:val="Strong"/>
        </w:rPr>
        <w:t>NA is assigned only when the team cannot confidently establish presence or absence</w:t>
      </w:r>
      <w:r>
        <w:rPr/>
        <w:t>, either because imagery is insufficient or because disagreement remains after joint review.</w:t>
      </w:r>
    </w:p>
    <w:p>
      <w:pPr>
        <w:pStyle w:val="BodyText"/>
        <w:rPr/>
      </w:pPr>
      <w:r>
        <w:rPr/>
        <w:t>The pair (</w:t>
      </w:r>
      <w:r>
        <w:rPr>
          <w:rStyle w:val="Strong"/>
        </w:rPr>
        <w:t>bl_fin</w:t>
      </w:r>
      <w:r>
        <w:rPr/>
        <w:t xml:space="preserve">, </w:t>
      </w:r>
      <w:r>
        <w:rPr>
          <w:rStyle w:val="Strong"/>
        </w:rPr>
        <w:t>fu_fin</w:t>
      </w:r>
      <w:r>
        <w:rPr/>
        <w:t xml:space="preserve">) constitutes the </w:t>
      </w:r>
      <w:r>
        <w:rPr>
          <w:rStyle w:val="Strong"/>
        </w:rPr>
        <w:t>final ground truth</w:t>
      </w:r>
      <w:r>
        <w:rPr/>
        <w:t xml:space="preserve"> used to assess OSM-detected changes.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</Pages>
  <Words>421</Words>
  <Characters>2218</Characters>
  <CharactersWithSpaces>2573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>Eugeni Vidal Tortosa</cp:lastModifiedBy>
  <dcterms:modified xsi:type="dcterms:W3CDTF">2025-11-29T17:54:40Z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