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rId26.png" ContentType="image/png"/>
  <Override PartName="/word/media/rId21.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Validating OpenStreetMap for detecting cycling-infrastructure change: A Barcelona pilot using Google Street View (2015–2023)</w:t>
      </w:r>
    </w:p>
    <w:p>
      <w:pPr>
        <w:pStyle w:val="Author"/>
      </w:pPr>
      <w:r>
        <w:t xml:space="preserve">Eugeni Vidal-Tortosa</w:t>
      </w:r>
    </w:p>
    <w:p>
      <w:pPr>
        <w:pStyle w:val="Author"/>
      </w:pPr>
      <w:r>
        <w:t xml:space="preserve">Oriol Marquet</w:t>
      </w:r>
    </w:p>
    <w:bookmarkStart w:id="20" w:name="introduction"/>
    <w:p>
      <w:pPr>
        <w:pStyle w:val="Heading2"/>
      </w:pPr>
      <w:r>
        <w:t xml:space="preserve">1 Introduction</w:t>
      </w:r>
    </w:p>
    <w:p>
      <w:pPr>
        <w:pStyle w:val="FirstParagraph"/>
      </w:pPr>
      <w:r>
        <w:t xml:space="preserve">In recent years, many cities worldwide have expanded their cycling networks in pursuit of cleaner, healthier and more equitable mobility</w:t>
      </w:r>
      <w:r>
        <w:t xml:space="preserve"> </w:t>
      </w:r>
      <w:r>
        <w:t xml:space="preserve">(Szell et al. 2022; Buehler and Pucher 2021)</w:t>
      </w:r>
      <w:r>
        <w:t xml:space="preserve">. Reliable data on how these networks evolve are essential to guide fair and evidence-based planning and to enable robust longitudinal research on their impacts. Yet longitudinal information is often missing: official inventories are rarely maintained consistently, while local field audits, though accurate, are costly and difficult to reproduce at scale. As a result, even in cities with substantial cycling expansion, consistent and longitudinally comparable data on infrastructure change are often limited and fragmented.</w:t>
      </w:r>
    </w:p>
    <w:p>
      <w:pPr>
        <w:pStyle w:val="BodyText"/>
      </w:pPr>
      <w:r>
        <w:t xml:space="preserve">The growing availability of Volunteered Geographic Information (VGI)</w:t>
      </w:r>
      <w:r>
        <w:t xml:space="preserve"> </w:t>
      </w:r>
      <w:r>
        <w:t xml:space="preserve">(Goodchild 2007)</w:t>
      </w:r>
      <w:r>
        <w:t xml:space="preserve"> </w:t>
      </w:r>
      <w:r>
        <w:t xml:space="preserve">offers new opportunities to address these data gaps. Among such sources, OpenStreetMap (OSM) stands out for providing open, editable and time-stamped spatial data on a wide range of urban features. In principle, OSM could enable the reconstruction of past infrastructure networks and support empirical studies of built-environment transformations.</w:t>
      </w:r>
    </w:p>
    <w:p>
      <w:pPr>
        <w:pStyle w:val="BodyText"/>
      </w:pPr>
      <w:r>
        <w:t xml:space="preserve">However, the use of OSM for longitudinal analysis faces several challenges. Previous research has shown that not all edits correspond to physical change (false positives), some genuine changes may remain unmapped (false negatives), and even valid updates are not always recorded at the time they occur</w:t>
      </w:r>
      <w:r>
        <w:t xml:space="preserve"> </w:t>
      </w:r>
      <w:r>
        <w:t xml:space="preserve">(Barron, Neis, and Zipf 2014; Ferster et al. 2020; Vierø, Vybornova, and Szell 2025)</w:t>
      </w:r>
      <w:r>
        <w:t xml:space="preserve">. These uncertainties raise questions about whether OSM’s temporal record can be trusted to detect infrastructure additions and removals.</w:t>
      </w:r>
    </w:p>
    <w:p>
      <w:pPr>
        <w:pStyle w:val="BodyText"/>
      </w:pPr>
      <w:r>
        <w:t xml:space="preserve">This study addresses these questions by evaluating the reliability of OSM for detecting cycling-infrastructure change in Barcelona between 2015 and 2023, using Google Street View (GSV) imagery as ground truth. It assesses OSM’s ability to identify added and removed cycle lanes and introduces a simple calibration framework to adjust OSM-based estimates to real-world conditions. The work forms part of the ATRAPA project (The Active Travel Backlash Paradox), which studies how people perceive and respond to built-environment sustainable-travel interventions across European cities</w:t>
      </w:r>
      <w:r>
        <w:t xml:space="preserve"> </w:t>
      </w:r>
      <w:r>
        <w:t xml:space="preserve">(GEMOTT Research Group 2025)</w:t>
      </w:r>
      <w:r>
        <w:t xml:space="preserve">.</w:t>
      </w:r>
    </w:p>
    <w:bookmarkEnd w:id="20"/>
    <w:bookmarkStart w:id="31" w:name="data-and-methods"/>
    <w:p>
      <w:pPr>
        <w:pStyle w:val="Heading2"/>
      </w:pPr>
      <w:r>
        <w:t xml:space="preserve">2 Data and methods</w:t>
      </w:r>
    </w:p>
    <w:p>
      <w:pPr>
        <w:pStyle w:val="FirstParagraph"/>
      </w:pPr>
      <w:r>
        <w:t xml:space="preserve">The analysis followed a five-step reproducible workflow (@ fig-workflow) with two main components: temporal differencing of dated OSM extracts to detect additions and removals of cycling infrastructure, and stratified GSV validation to check a sample of these detected changes. All stages were implemented in R using open-source packages, including</w:t>
      </w:r>
      <w:r>
        <w:t xml:space="preserve"> </w:t>
      </w:r>
      <w:r>
        <w:rPr>
          <w:i/>
          <w:iCs/>
        </w:rPr>
        <w:t xml:space="preserve">osmextract</w:t>
      </w:r>
      <w:r>
        <w:t xml:space="preserve"> </w:t>
      </w:r>
      <w:r>
        <w:t xml:space="preserve">to retrieve dated OSM snapshots.</w:t>
      </w:r>
    </w:p>
    <w:tbl>
      <w:tblPr>
        <w:tblStyle w:val="Table"/>
        <w:tblW w:type="pct" w:w="5000"/>
        <w:tblLayout w:type="fixed"/>
        <w:tblLook w:firstRow="0" w:lastRow="0" w:firstColumn="0" w:lastColumn="0" w:noHBand="0" w:noVBand="0" w:val="0000"/>
      </w:tblPr>
      <w:tblGrid>
        <w:gridCol w:w="7920"/>
      </w:tblGrid>
      <w:tr>
        <w:tc>
          <w:tcPr/>
          <w:bookmarkStart w:id="24" w:name="fig-workflow"/>
          <w:p>
            <w:pPr>
              <w:pStyle w:val="Compact"/>
              <w:jc w:val="center"/>
            </w:pPr>
            <w:r>
              <w:drawing>
                <wp:inline>
                  <wp:extent cx="5943600" cy="3302000"/>
                  <wp:effectExtent b="0" l="0" r="0" t="0"/>
                  <wp:docPr descr="" title="" id="22" name="Picture"/>
                  <a:graphic>
                    <a:graphicData uri="http://schemas.openxmlformats.org/drawingml/2006/picture">
                      <pic:pic>
                        <pic:nvPicPr>
                          <pic:cNvPr descr="../figs/osm_gsv_flowchart.png" id="23" name="Picture"/>
                          <pic:cNvPicPr>
                            <a:picLocks noChangeArrowheads="1" noChangeAspect="1"/>
                          </pic:cNvPicPr>
                        </pic:nvPicPr>
                        <pic:blipFill>
                          <a:blip r:embed="rId21"/>
                          <a:stretch>
                            <a:fillRect/>
                          </a:stretch>
                        </pic:blipFill>
                        <pic:spPr bwMode="auto">
                          <a:xfrm>
                            <a:off x="0" y="0"/>
                            <a:ext cx="5943600" cy="3302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Main workflow steps (2015–2023).</w:t>
            </w:r>
          </w:p>
          <w:bookmarkEnd w:id="24"/>
        </w:tc>
      </w:tr>
    </w:tbl>
    <w:bookmarkStart w:id="25" w:name="osm-temporal-differencing"/>
    <w:p>
      <w:pPr>
        <w:pStyle w:val="Heading5"/>
      </w:pPr>
      <w:r>
        <w:t xml:space="preserve">2.0.0.1 OSM temporal differencing</w:t>
      </w:r>
    </w:p>
    <w:p>
      <w:pPr>
        <w:pStyle w:val="FirstParagraph"/>
      </w:pPr>
      <w:r>
        <w:t xml:space="preserve">Baseline and follow-up cycling networks were built from OSM extracts dated 1 January 2016 and 1 January 2024 (approximating 2015 and 2023). Road segments tagged as cycleways or otherwise designated for bicycle use were classified as cycling infrastructure; all other urban segments were treated as non-cycling.</w:t>
      </w:r>
    </w:p>
    <w:p>
      <w:pPr>
        <w:pStyle w:val="BodyText"/>
      </w:pPr>
      <w:r>
        <w:t xml:space="preserve">After cleaning and projection, the two cycling network layers were compared geometrically to identify added segments (present in 2023 only) and removed segments (present in 2015 only). Small positional realignments, where added and removed segments lay very close together, were excluded so that minor mapping adjustments were not misclassified as physical change.</w:t>
      </w:r>
    </w:p>
    <w:bookmarkEnd w:id="25"/>
    <w:bookmarkStart w:id="30" w:name="stratified-gsv-validation"/>
    <w:p>
      <w:pPr>
        <w:pStyle w:val="Heading5"/>
      </w:pPr>
      <w:r>
        <w:t xml:space="preserve">2.0.0.2 Stratified GSV validation</w:t>
      </w:r>
    </w:p>
    <w:p>
      <w:pPr>
        <w:pStyle w:val="FirstParagraph"/>
      </w:pPr>
      <w:r>
        <w:t xml:space="preserve">To validate these OSM-detected changes, we used a stratified sample of Barcelona’s 1,063 census tracts. Tracts were cross-classified by population density and centrality into nine strata, from which six tracts per stratum were randomly selected (54 in total). Within each tract, up to two added, two removed, and one non-cycling segment were sampled, with selection weighted by length. The midpoint of each sampled segment served as the validation point and was linked to the nearest available GSV panorama.</w:t>
      </w:r>
    </w:p>
    <w:p>
      <w:pPr>
        <w:pStyle w:val="BodyText"/>
      </w:pPr>
      <w:r>
        <w:t xml:space="preserve">Each validation point was then assessed by two trained coders using GSV panoramas for 2015 (baseline) and 2023 (follow-up). When imagery for the target year was unavailable or obscured, the closest available years were used (2024 and 2022 for follow-up; 2014 and 2016 for baseline). Coders assigned 1 if cycling infrastructure was visible, 0 if absent, and NA if indeterminate. Agreement was high: in 91 of 95 usable cases (95.8 %) both coders assigned the same code; disagreements were resolved by consensus. Based on these observations, OSM-detected additions were classed as True Positives (TP) when GSV showed a 0 to 1 pattern and as False Positives (FP) otherwise; removals were treated analogously using 1 to 0 patterns, and non-cycling segments were used to identify False Negatives (FN). Examples of TP additions and removals are shown in</w:t>
      </w:r>
      <w:r>
        <w:t xml:space="preserve"> </w:t>
      </w:r>
      <w:hyperlink w:anchor="fig-gsv-examples">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 w:name="fig-gsv-examples"/>
          <w:p>
            <w:pPr>
              <w:pStyle w:val="Compact"/>
              <w:jc w:val="right"/>
            </w:pPr>
            <w:r>
              <w:drawing>
                <wp:inline>
                  <wp:extent cx="5943600" cy="3543012"/>
                  <wp:effectExtent b="0" l="0" r="0" t="0"/>
                  <wp:docPr descr="" title="" id="27" name="Picture"/>
                  <a:graphic>
                    <a:graphicData uri="http://schemas.openxmlformats.org/drawingml/2006/picture">
                      <pic:pic>
                        <pic:nvPicPr>
                          <pic:cNvPr descr="../figs/fig-gsv-examples.png" id="28" name="Picture"/>
                          <pic:cNvPicPr>
                            <a:picLocks noChangeArrowheads="1" noChangeAspect="1"/>
                          </pic:cNvPicPr>
                        </pic:nvPicPr>
                        <pic:blipFill>
                          <a:blip r:embed="rId26"/>
                          <a:stretch>
                            <a:fillRect/>
                          </a:stretch>
                        </pic:blipFill>
                        <pic:spPr bwMode="auto">
                          <a:xfrm>
                            <a:off x="0" y="0"/>
                            <a:ext cx="5943600" cy="3543012"/>
                          </a:xfrm>
                          <a:prstGeom prst="rect">
                            <a:avLst/>
                          </a:prstGeom>
                          <a:noFill/>
                          <a:ln w="9525">
                            <a:noFill/>
                            <a:headEnd/>
                            <a:tailEnd/>
                          </a:ln>
                        </pic:spPr>
                      </pic:pic>
                    </a:graphicData>
                  </a:graphic>
                </wp:inline>
              </w:drawing>
            </w:r>
          </w:p>
          <w:p>
            <w:pPr>
              <w:jc w:val="right"/>
            </w:pPr>
            <w:pPr>
              <w:jc w:val="start"/>
              <w:spacing w:before="200"/>
              <w:pStyle w:val="ImageCaption"/>
            </w:pPr>
            <w:r>
              <w:t xml:space="preserve">Figure 2: Examples of True Positive changes observed during GSV validation: (a) 2015 baseline with no cycling infrastructure; (b) 2023 follow-up showing a new segregated track (0→1); (c) 2015 baseline with a cycle track; (d) 2023 follow-up showing its removal during a street redesign (1→0).</w:t>
            </w:r>
          </w:p>
          <w:bookmarkEnd w:id="29"/>
        </w:tc>
      </w:tr>
    </w:tbl>
    <w:p>
      <w:pPr>
        <w:pStyle w:val="BodyText"/>
      </w:pPr>
      <w:r>
        <w:t xml:space="preserve">Validation accuracy was then assessed using standard metrics. Precision (TP/(TP+FP)) captures the share of OSM-detected changes that were real. Recall (TP/(TP+FN)) captures the share of real changes correctly detected by OSM. The F1 score is the harmonic mean of precision and recall. Ninety-five per cent Wilson confidence intervals (CI) were computed for each measure.</w:t>
      </w:r>
    </w:p>
    <w:bookmarkEnd w:id="30"/>
    <w:bookmarkEnd w:id="31"/>
    <w:bookmarkStart w:id="38" w:name="results"/>
    <w:p>
      <w:pPr>
        <w:pStyle w:val="Heading2"/>
      </w:pPr>
      <w:r>
        <w:t xml:space="preserve">3 Results</w:t>
      </w:r>
    </w:p>
    <w:bookmarkStart w:id="36" w:name="network-change-detected-by-osm"/>
    <w:p>
      <w:pPr>
        <w:pStyle w:val="Heading4"/>
      </w:pPr>
      <w:r>
        <w:t xml:space="preserve">3.0.1 Network change detected by OSM</w:t>
      </w:r>
    </w:p>
    <w:p>
      <w:pPr>
        <w:numPr>
          <w:ilvl w:val="0"/>
          <w:numId w:val="1001"/>
        </w:numPr>
      </w:pPr>
      <w:r>
        <w:t xml:space="preserve">OSM cycling network grew</w:t>
      </w:r>
      <w:r>
        <w:t xml:space="preserve"> </w:t>
      </w:r>
      <w:r>
        <w:rPr>
          <w:b/>
          <w:bCs/>
        </w:rPr>
        <w:t xml:space="preserve">153.6 → 288.4 km (+88%)</w:t>
      </w:r>
    </w:p>
    <w:p>
      <w:pPr>
        <w:numPr>
          <w:ilvl w:val="0"/>
          <w:numId w:val="1001"/>
        </w:numPr>
      </w:pPr>
      <w:r>
        <w:t xml:space="preserve">Segment differencing results:</w:t>
      </w:r>
      <w:r>
        <w:t xml:space="preserve"> </w:t>
      </w:r>
      <w:r>
        <w:rPr>
          <w:b/>
          <w:bCs/>
        </w:rPr>
        <w:t xml:space="preserve">156.0 km added, 24.8 km removed</w:t>
      </w:r>
    </w:p>
    <w:tbl>
      <w:tblPr>
        <w:tblStyle w:val="Table"/>
        <w:tblW w:type="pct" w:w="5000"/>
        <w:tblLayout w:type="fixed"/>
        <w:tblLook w:firstRow="0" w:lastRow="0" w:firstColumn="0" w:lastColumn="0" w:noHBand="0" w:noVBand="0" w:val="0000"/>
      </w:tblPr>
      <w:tblGrid>
        <w:gridCol w:w="7920"/>
      </w:tblGrid>
      <w:tr>
        <w:tc>
          <w:tcPr/>
          <w:bookmarkStart w:id="35" w:name="fig-changes"/>
          <w:p>
            <w:pPr>
              <w:pStyle w:val="Compact"/>
              <w:jc w:val="center"/>
            </w:pPr>
            <w:r>
              <w:drawing>
                <wp:inline>
                  <wp:extent cx="5943600" cy="4754880"/>
                  <wp:effectExtent b="0" l="0" r="0" t="0"/>
                  <wp:docPr descr="" title="" id="33" name="Picture"/>
                  <a:graphic>
                    <a:graphicData uri="http://schemas.openxmlformats.org/drawingml/2006/picture">
                      <pic:pic>
                        <pic:nvPicPr>
                          <pic:cNvPr descr="paper_files/figure-docx/fig-changes-1.png" id="34" name="Picture"/>
                          <pic:cNvPicPr>
                            <a:picLocks noChangeArrowheads="1" noChangeAspect="1"/>
                          </pic:cNvPicPr>
                        </pic:nvPicPr>
                        <pic:blipFill>
                          <a:blip r:embed="rId32"/>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Distribution of validation points (with GSV links).</w:t>
            </w:r>
          </w:p>
          <w:bookmarkEnd w:id="35"/>
        </w:tc>
      </w:tr>
    </w:tbl>
    <w:p>
      <w:pPr>
        <w:pStyle w:val="TableCaption"/>
      </w:pPr>
      <w:r>
        <w:t xml:space="preserve">Table 1: Consistency between yearly totals and differencing estimates (2015–2023, Barcelona)</w:t>
      </w:r>
    </w:p>
    <w:tbl>
      <w:tblPr>
        <w:tblStyle w:val="Table"/>
        <w:tblW w:type="auto" w:w="0"/>
        <w:tblLook w:firstRow="1" w:lastRow="0" w:firstColumn="0" w:lastColumn="0" w:noHBand="0" w:noVBand="0" w:val="0020"/>
        <w:tblCaption w:val="Table 1: Consistency between yearly totals and differencing estimates (2015–2023, Barcelona)"/>
      </w:tblPr>
      <w:tblGrid>
        <w:gridCol w:w="3960"/>
        <w:gridCol w:w="3960"/>
      </w:tblGrid>
      <w:tr>
        <w:trPr>
          <w:tblHeader w:val="on"/>
        </w:trPr>
        <w:tc>
          <w:tcPr/>
          <w:p>
            <w:pPr>
              <w:pStyle w:val="Compact"/>
              <w:jc w:val="left"/>
            </w:pPr>
            <w:r>
              <w:t xml:space="preserve">Metric</w:t>
            </w:r>
          </w:p>
        </w:tc>
        <w:tc>
          <w:tcPr/>
          <w:p>
            <w:pPr>
              <w:pStyle w:val="Compact"/>
              <w:jc w:val="right"/>
            </w:pPr>
            <w:r>
              <w:t xml:space="preserve">Value</w:t>
            </w:r>
          </w:p>
        </w:tc>
      </w:tr>
      <w:tr>
        <w:tc>
          <w:tcPr/>
          <w:p>
            <w:pPr>
              <w:pStyle w:val="Compact"/>
              <w:jc w:val="left"/>
            </w:pPr>
            <w:r>
              <w:t xml:space="preserve">Total 2015 (km)</w:t>
            </w:r>
          </w:p>
        </w:tc>
        <w:tc>
          <w:tcPr/>
          <w:p>
            <w:pPr>
              <w:pStyle w:val="Compact"/>
              <w:jc w:val="right"/>
            </w:pPr>
            <w:r>
              <w:t xml:space="preserve">153.6</w:t>
            </w:r>
          </w:p>
        </w:tc>
      </w:tr>
      <w:tr>
        <w:tc>
          <w:tcPr/>
          <w:p>
            <w:pPr>
              <w:pStyle w:val="Compact"/>
              <w:jc w:val="left"/>
            </w:pPr>
            <w:r>
              <w:t xml:space="preserve">Total 2023 (km)</w:t>
            </w:r>
          </w:p>
        </w:tc>
        <w:tc>
          <w:tcPr/>
          <w:p>
            <w:pPr>
              <w:pStyle w:val="Compact"/>
              <w:jc w:val="right"/>
            </w:pPr>
            <w:r>
              <w:t xml:space="preserve">288.4</w:t>
            </w:r>
          </w:p>
        </w:tc>
      </w:tr>
      <w:tr>
        <w:tc>
          <w:tcPr/>
          <w:p>
            <w:pPr>
              <w:pStyle w:val="Compact"/>
              <w:jc w:val="left"/>
            </w:pPr>
            <w:r>
              <w:t xml:space="preserve">Net growth (km)</w:t>
            </w:r>
          </w:p>
        </w:tc>
        <w:tc>
          <w:tcPr/>
          <w:p>
            <w:pPr>
              <w:pStyle w:val="Compact"/>
              <w:jc w:val="right"/>
            </w:pPr>
            <w:r>
              <w:t xml:space="preserve">134.8</w:t>
            </w:r>
          </w:p>
        </w:tc>
      </w:tr>
      <w:tr>
        <w:tc>
          <w:tcPr/>
          <w:p>
            <w:pPr>
              <w:pStyle w:val="Compact"/>
              <w:jc w:val="left"/>
            </w:pPr>
            <w:r>
              <w:t xml:space="preserve">Added (km)</w:t>
            </w:r>
          </w:p>
        </w:tc>
        <w:tc>
          <w:tcPr/>
          <w:p>
            <w:pPr>
              <w:pStyle w:val="Compact"/>
              <w:jc w:val="right"/>
            </w:pPr>
            <w:r>
              <w:t xml:space="preserve">156.0</w:t>
            </w:r>
          </w:p>
        </w:tc>
      </w:tr>
      <w:tr>
        <w:tc>
          <w:tcPr/>
          <w:p>
            <w:pPr>
              <w:pStyle w:val="Compact"/>
              <w:jc w:val="left"/>
            </w:pPr>
            <w:r>
              <w:t xml:space="preserve">Removed (km)</w:t>
            </w:r>
          </w:p>
        </w:tc>
        <w:tc>
          <w:tcPr/>
          <w:p>
            <w:pPr>
              <w:pStyle w:val="Compact"/>
              <w:jc w:val="right"/>
            </w:pPr>
            <w:r>
              <w:t xml:space="preserve">24.8</w:t>
            </w:r>
          </w:p>
        </w:tc>
      </w:tr>
      <w:tr>
        <w:tc>
          <w:tcPr/>
          <w:p>
            <w:pPr>
              <w:pStyle w:val="Compact"/>
              <w:jc w:val="left"/>
            </w:pPr>
            <w:r>
              <w:t xml:space="preserve">Added − Removed (km)</w:t>
            </w:r>
          </w:p>
        </w:tc>
        <w:tc>
          <w:tcPr/>
          <w:p>
            <w:pPr>
              <w:pStyle w:val="Compact"/>
              <w:jc w:val="right"/>
            </w:pPr>
            <w:r>
              <w:t xml:space="preserve">131.2</w:t>
            </w:r>
          </w:p>
        </w:tc>
      </w:tr>
      <w:tr>
        <w:tc>
          <w:tcPr/>
          <w:p>
            <w:pPr>
              <w:pStyle w:val="Compact"/>
              <w:jc w:val="left"/>
            </w:pPr>
            <w:r>
              <w:t xml:space="preserve">Gap: (Added−Removed) − Net</w:t>
            </w:r>
          </w:p>
        </w:tc>
        <w:tc>
          <w:tcPr/>
          <w:p>
            <w:pPr>
              <w:pStyle w:val="Compact"/>
              <w:jc w:val="right"/>
            </w:pPr>
            <w:r>
              <w:t xml:space="preserve">-3.6</w:t>
            </w:r>
          </w:p>
        </w:tc>
      </w:tr>
    </w:tbl>
    <w:p>
      <w:pPr>
        <w:numPr>
          <w:ilvl w:val="0"/>
          <w:numId w:val="1002"/>
        </w:numPr>
      </w:pPr>
      <w:r>
        <w:rPr>
          <w:b/>
          <w:bCs/>
        </w:rPr>
        <w:t xml:space="preserve">Additions</w:t>
      </w:r>
      <w:r>
        <w:t xml:space="preserve"> </w:t>
      </w:r>
      <w:r>
        <w:t xml:space="preserve">were concentrated in</w:t>
      </w:r>
      <w:r>
        <w:t xml:space="preserve"> </w:t>
      </w:r>
      <w:r>
        <w:rPr>
          <w:b/>
          <w:bCs/>
        </w:rPr>
        <w:t xml:space="preserve">dense–central tracts</w:t>
      </w:r>
      <w:r>
        <w:t xml:space="preserve"> </w:t>
      </w:r>
      <w:r>
        <w:t xml:space="preserve">(D1_C2, D1_C3, D3_C2), which together accounted for</w:t>
      </w:r>
      <w:r>
        <w:t xml:space="preserve"> </w:t>
      </w:r>
      <w:r>
        <w:rPr>
          <w:b/>
          <w:bCs/>
        </w:rPr>
        <w:t xml:space="preserve">≈58%</w:t>
      </w:r>
      <w:r>
        <w:t xml:space="preserve"> </w:t>
      </w:r>
      <w:r>
        <w:t xml:space="preserve">of total added length.</w:t>
      </w:r>
    </w:p>
    <w:p>
      <w:pPr>
        <w:numPr>
          <w:ilvl w:val="0"/>
          <w:numId w:val="1002"/>
        </w:numPr>
      </w:pPr>
      <w:r>
        <w:rPr>
          <w:b/>
          <w:bCs/>
        </w:rPr>
        <w:t xml:space="preserve">Removals</w:t>
      </w:r>
      <w:r>
        <w:t xml:space="preserve"> </w:t>
      </w:r>
      <w:r>
        <w:t xml:space="preserve">were concentrated in</w:t>
      </w:r>
      <w:r>
        <w:t xml:space="preserve"> </w:t>
      </w:r>
      <w:r>
        <w:rPr>
          <w:b/>
          <w:bCs/>
        </w:rPr>
        <w:t xml:space="preserve">intermediate-density tracts</w:t>
      </w:r>
      <w:r>
        <w:t xml:space="preserve"> </w:t>
      </w:r>
      <w:r>
        <w:t xml:space="preserve">(D2_C1, D2_C3, D1_C2), representing</w:t>
      </w:r>
      <w:r>
        <w:t xml:space="preserve"> </w:t>
      </w:r>
      <w:r>
        <w:rPr>
          <w:b/>
          <w:bCs/>
        </w:rPr>
        <w:t xml:space="preserve">≈62%</w:t>
      </w:r>
      <w:r>
        <w:t xml:space="preserve"> </w:t>
      </w:r>
      <w:r>
        <w:t xml:space="preserve">of total removed length.</w:t>
      </w:r>
    </w:p>
    <w:p>
      <w:pPr>
        <w:pStyle w:val="TableCaption"/>
      </w:pPr>
      <w:r>
        <w:t xml:space="preserve">Table 2: OSM-estimated additions and removals (2015–2023) by density × centrality stratum</w:t>
      </w:r>
    </w:p>
    <w:tbl>
      <w:tblPr>
        <w:tblStyle w:val="Table"/>
        <w:tblW w:type="auto" w:w="0"/>
        <w:tblLook w:firstRow="1" w:lastRow="0" w:firstColumn="0" w:lastColumn="0" w:noHBand="0" w:noVBand="0" w:val="0020"/>
        <w:tblCaption w:val="Table 2: OSM-estimated additions and removals (2015–2023) by density × centrality stratum"/>
      </w:tblPr>
      <w:tblGrid>
        <w:gridCol w:w="1584"/>
        <w:gridCol w:w="1584"/>
        <w:gridCol w:w="1584"/>
        <w:gridCol w:w="1584"/>
        <w:gridCol w:w="1584"/>
      </w:tblGrid>
      <w:tr>
        <w:trPr>
          <w:tblHeader w:val="on"/>
        </w:trPr>
        <w:tc>
          <w:tcPr/>
          <w:p>
            <w:pPr>
              <w:pStyle w:val="Compact"/>
              <w:jc w:val="left"/>
            </w:pPr>
            <w:r>
              <w:t xml:space="preserve">stratum</w:t>
            </w:r>
          </w:p>
        </w:tc>
        <w:tc>
          <w:tcPr/>
          <w:p>
            <w:pPr>
              <w:pStyle w:val="Compact"/>
              <w:jc w:val="right"/>
            </w:pPr>
            <w:r>
              <w:t xml:space="preserve">Added_km</w:t>
            </w:r>
          </w:p>
        </w:tc>
        <w:tc>
          <w:tcPr/>
          <w:p>
            <w:pPr>
              <w:pStyle w:val="Compact"/>
              <w:jc w:val="right"/>
            </w:pPr>
            <w:r>
              <w:t xml:space="preserve">Removed_km</w:t>
            </w:r>
          </w:p>
        </w:tc>
        <w:tc>
          <w:tcPr/>
          <w:p>
            <w:pPr>
              <w:pStyle w:val="Compact"/>
              <w:jc w:val="right"/>
            </w:pPr>
            <w:r>
              <w:t xml:space="preserve">Added_pct</w:t>
            </w:r>
          </w:p>
        </w:tc>
        <w:tc>
          <w:tcPr/>
          <w:p>
            <w:pPr>
              <w:pStyle w:val="Compact"/>
              <w:jc w:val="right"/>
            </w:pPr>
            <w:r>
              <w:t xml:space="preserve">Removed_pct</w:t>
            </w:r>
          </w:p>
        </w:tc>
      </w:tr>
      <w:tr>
        <w:tc>
          <w:tcPr/>
          <w:p>
            <w:pPr>
              <w:pStyle w:val="Compact"/>
              <w:jc w:val="left"/>
            </w:pPr>
            <w:r>
              <w:t xml:space="preserve">D1_C1</w:t>
            </w:r>
          </w:p>
        </w:tc>
        <w:tc>
          <w:tcPr/>
          <w:p>
            <w:pPr>
              <w:pStyle w:val="Compact"/>
              <w:jc w:val="right"/>
            </w:pPr>
            <w:r>
              <w:t xml:space="preserve">0.7</w:t>
            </w:r>
          </w:p>
        </w:tc>
        <w:tc>
          <w:tcPr/>
          <w:p>
            <w:pPr>
              <w:pStyle w:val="Compact"/>
              <w:jc w:val="right"/>
            </w:pPr>
            <w:r>
              <w:t xml:space="preserve">0.1</w:t>
            </w:r>
          </w:p>
        </w:tc>
        <w:tc>
          <w:tcPr/>
          <w:p>
            <w:pPr>
              <w:pStyle w:val="Compact"/>
              <w:jc w:val="right"/>
            </w:pPr>
            <w:r>
              <w:t xml:space="preserve">8.9%</w:t>
            </w:r>
          </w:p>
        </w:tc>
        <w:tc>
          <w:tcPr/>
          <w:p>
            <w:pPr>
              <w:pStyle w:val="Compact"/>
              <w:jc w:val="right"/>
            </w:pPr>
            <w:r>
              <w:t xml:space="preserve">9.2%</w:t>
            </w:r>
          </w:p>
        </w:tc>
      </w:tr>
      <w:tr>
        <w:tc>
          <w:tcPr/>
          <w:p>
            <w:pPr>
              <w:pStyle w:val="Compact"/>
              <w:jc w:val="left"/>
            </w:pPr>
            <w:r>
              <w:t xml:space="preserve">D1_C2</w:t>
            </w:r>
          </w:p>
        </w:tc>
        <w:tc>
          <w:tcPr/>
          <w:p>
            <w:pPr>
              <w:pStyle w:val="Compact"/>
              <w:jc w:val="right"/>
            </w:pPr>
            <w:r>
              <w:t xml:space="preserve">1.8</w:t>
            </w:r>
          </w:p>
        </w:tc>
        <w:tc>
          <w:tcPr/>
          <w:p>
            <w:pPr>
              <w:pStyle w:val="Compact"/>
              <w:jc w:val="right"/>
            </w:pPr>
            <w:r>
              <w:t xml:space="preserve">0.1</w:t>
            </w:r>
          </w:p>
        </w:tc>
        <w:tc>
          <w:tcPr/>
          <w:p>
            <w:pPr>
              <w:pStyle w:val="Compact"/>
              <w:jc w:val="right"/>
            </w:pPr>
            <w:r>
              <w:t xml:space="preserve">22.5%</w:t>
            </w:r>
          </w:p>
        </w:tc>
        <w:tc>
          <w:tcPr/>
          <w:p>
            <w:pPr>
              <w:pStyle w:val="Compact"/>
              <w:jc w:val="right"/>
            </w:pPr>
            <w:r>
              <w:t xml:space="preserve">18.6%</w:t>
            </w:r>
          </w:p>
        </w:tc>
      </w:tr>
      <w:tr>
        <w:tc>
          <w:tcPr/>
          <w:p>
            <w:pPr>
              <w:pStyle w:val="Compact"/>
              <w:jc w:val="left"/>
            </w:pPr>
            <w:r>
              <w:t xml:space="preserve">D1_C3</w:t>
            </w:r>
          </w:p>
        </w:tc>
        <w:tc>
          <w:tcPr/>
          <w:p>
            <w:pPr>
              <w:pStyle w:val="Compact"/>
              <w:jc w:val="right"/>
            </w:pPr>
            <w:r>
              <w:t xml:space="preserve">1.4</w:t>
            </w:r>
          </w:p>
        </w:tc>
        <w:tc>
          <w:tcPr/>
          <w:p>
            <w:pPr>
              <w:pStyle w:val="Compact"/>
              <w:jc w:val="right"/>
            </w:pPr>
            <w:r>
              <w:t xml:space="preserve">0.1</w:t>
            </w:r>
          </w:p>
        </w:tc>
        <w:tc>
          <w:tcPr/>
          <w:p>
            <w:pPr>
              <w:pStyle w:val="Compact"/>
              <w:jc w:val="right"/>
            </w:pPr>
            <w:r>
              <w:t xml:space="preserve">18.5%</w:t>
            </w:r>
          </w:p>
        </w:tc>
        <w:tc>
          <w:tcPr/>
          <w:p>
            <w:pPr>
              <w:pStyle w:val="Compact"/>
              <w:jc w:val="right"/>
            </w:pPr>
            <w:r>
              <w:t xml:space="preserve">9.0%</w:t>
            </w:r>
          </w:p>
        </w:tc>
      </w:tr>
      <w:tr>
        <w:tc>
          <w:tcPr/>
          <w:p>
            <w:pPr>
              <w:pStyle w:val="Compact"/>
              <w:jc w:val="left"/>
            </w:pPr>
            <w:r>
              <w:t xml:space="preserve">D2_C1</w:t>
            </w:r>
          </w:p>
        </w:tc>
        <w:tc>
          <w:tcPr/>
          <w:p>
            <w:pPr>
              <w:pStyle w:val="Compact"/>
              <w:jc w:val="right"/>
            </w:pPr>
            <w:r>
              <w:t xml:space="preserve">0.4</w:t>
            </w:r>
          </w:p>
        </w:tc>
        <w:tc>
          <w:tcPr/>
          <w:p>
            <w:pPr>
              <w:pStyle w:val="Compact"/>
              <w:jc w:val="right"/>
            </w:pPr>
            <w:r>
              <w:t xml:space="preserve">0.1</w:t>
            </w:r>
          </w:p>
        </w:tc>
        <w:tc>
          <w:tcPr/>
          <w:p>
            <w:pPr>
              <w:pStyle w:val="Compact"/>
              <w:jc w:val="right"/>
            </w:pPr>
            <w:r>
              <w:t xml:space="preserve">4.9%</w:t>
            </w:r>
          </w:p>
        </w:tc>
        <w:tc>
          <w:tcPr/>
          <w:p>
            <w:pPr>
              <w:pStyle w:val="Compact"/>
              <w:jc w:val="right"/>
            </w:pPr>
            <w:r>
              <w:t xml:space="preserve">18.6%</w:t>
            </w:r>
          </w:p>
        </w:tc>
      </w:tr>
      <w:tr>
        <w:tc>
          <w:tcPr/>
          <w:p>
            <w:pPr>
              <w:pStyle w:val="Compact"/>
              <w:jc w:val="left"/>
            </w:pPr>
            <w:r>
              <w:t xml:space="preserve">D2_C2</w:t>
            </w:r>
          </w:p>
        </w:tc>
        <w:tc>
          <w:tcPr/>
          <w:p>
            <w:pPr>
              <w:pStyle w:val="Compact"/>
              <w:jc w:val="right"/>
            </w:pPr>
            <w:r>
              <w:t xml:space="preserve">0.8</w:t>
            </w:r>
          </w:p>
        </w:tc>
        <w:tc>
          <w:tcPr/>
          <w:p>
            <w:pPr>
              <w:pStyle w:val="Compact"/>
              <w:jc w:val="right"/>
            </w:pPr>
            <w:r>
              <w:t xml:space="preserve">0.0</w:t>
            </w:r>
          </w:p>
        </w:tc>
        <w:tc>
          <w:tcPr/>
          <w:p>
            <w:pPr>
              <w:pStyle w:val="Compact"/>
              <w:jc w:val="right"/>
            </w:pPr>
            <w:r>
              <w:t xml:space="preserve">10.2%</w:t>
            </w:r>
          </w:p>
        </w:tc>
        <w:tc>
          <w:tcPr/>
          <w:p>
            <w:pPr>
              <w:pStyle w:val="Compact"/>
              <w:jc w:val="right"/>
            </w:pPr>
            <w:r>
              <w:t xml:space="preserve">0.0%</w:t>
            </w:r>
          </w:p>
        </w:tc>
      </w:tr>
      <w:tr>
        <w:tc>
          <w:tcPr/>
          <w:p>
            <w:pPr>
              <w:pStyle w:val="Compact"/>
              <w:jc w:val="left"/>
            </w:pPr>
            <w:r>
              <w:t xml:space="preserve">D2_C3</w:t>
            </w:r>
          </w:p>
        </w:tc>
        <w:tc>
          <w:tcPr/>
          <w:p>
            <w:pPr>
              <w:pStyle w:val="Compact"/>
              <w:jc w:val="right"/>
            </w:pPr>
            <w:r>
              <w:t xml:space="preserve">0.6</w:t>
            </w:r>
          </w:p>
        </w:tc>
        <w:tc>
          <w:tcPr/>
          <w:p>
            <w:pPr>
              <w:pStyle w:val="Compact"/>
              <w:jc w:val="right"/>
            </w:pPr>
            <w:r>
              <w:t xml:space="preserve">0.1</w:t>
            </w:r>
          </w:p>
        </w:tc>
        <w:tc>
          <w:tcPr/>
          <w:p>
            <w:pPr>
              <w:pStyle w:val="Compact"/>
              <w:jc w:val="right"/>
            </w:pPr>
            <w:r>
              <w:t xml:space="preserve">8.0%</w:t>
            </w:r>
          </w:p>
        </w:tc>
        <w:tc>
          <w:tcPr/>
          <w:p>
            <w:pPr>
              <w:pStyle w:val="Compact"/>
              <w:jc w:val="right"/>
            </w:pPr>
            <w:r>
              <w:t xml:space="preserve">24.5%</w:t>
            </w:r>
          </w:p>
        </w:tc>
      </w:tr>
      <w:tr>
        <w:tc>
          <w:tcPr/>
          <w:p>
            <w:pPr>
              <w:pStyle w:val="Compact"/>
              <w:jc w:val="left"/>
            </w:pPr>
            <w:r>
              <w:t xml:space="preserve">D3_C1</w:t>
            </w:r>
          </w:p>
        </w:tc>
        <w:tc>
          <w:tcPr/>
          <w:p>
            <w:pPr>
              <w:pStyle w:val="Compact"/>
              <w:jc w:val="right"/>
            </w:pPr>
            <w:r>
              <w:t xml:space="preserve">0.2</w:t>
            </w:r>
          </w:p>
        </w:tc>
        <w:tc>
          <w:tcPr/>
          <w:p>
            <w:pPr>
              <w:pStyle w:val="Compact"/>
              <w:jc w:val="right"/>
            </w:pPr>
            <w:r>
              <w:t xml:space="preserve">0.0</w:t>
            </w:r>
          </w:p>
        </w:tc>
        <w:tc>
          <w:tcPr/>
          <w:p>
            <w:pPr>
              <w:pStyle w:val="Compact"/>
              <w:jc w:val="right"/>
            </w:pPr>
            <w:r>
              <w:t xml:space="preserve">2.5%</w:t>
            </w:r>
          </w:p>
        </w:tc>
        <w:tc>
          <w:tcPr/>
          <w:p>
            <w:pPr>
              <w:pStyle w:val="Compact"/>
              <w:jc w:val="right"/>
            </w:pPr>
            <w:r>
              <w:t xml:space="preserve">0.0%</w:t>
            </w:r>
          </w:p>
        </w:tc>
      </w:tr>
      <w:tr>
        <w:tc>
          <w:tcPr/>
          <w:p>
            <w:pPr>
              <w:pStyle w:val="Compact"/>
              <w:jc w:val="left"/>
            </w:pPr>
            <w:r>
              <w:t xml:space="preserve">D3_C2</w:t>
            </w:r>
          </w:p>
        </w:tc>
        <w:tc>
          <w:tcPr/>
          <w:p>
            <w:pPr>
              <w:pStyle w:val="Compact"/>
              <w:jc w:val="right"/>
            </w:pPr>
            <w:r>
              <w:t xml:space="preserve">1.3</w:t>
            </w:r>
          </w:p>
        </w:tc>
        <w:tc>
          <w:tcPr/>
          <w:p>
            <w:pPr>
              <w:pStyle w:val="Compact"/>
              <w:jc w:val="right"/>
            </w:pPr>
            <w:r>
              <w:t xml:space="preserve">0.0</w:t>
            </w:r>
          </w:p>
        </w:tc>
        <w:tc>
          <w:tcPr/>
          <w:p>
            <w:pPr>
              <w:pStyle w:val="Compact"/>
              <w:jc w:val="right"/>
            </w:pPr>
            <w:r>
              <w:t xml:space="preserve">16.5%</w:t>
            </w:r>
          </w:p>
        </w:tc>
        <w:tc>
          <w:tcPr/>
          <w:p>
            <w:pPr>
              <w:pStyle w:val="Compact"/>
              <w:jc w:val="right"/>
            </w:pPr>
            <w:r>
              <w:t xml:space="preserve">0.0%</w:t>
            </w:r>
          </w:p>
        </w:tc>
      </w:tr>
      <w:tr>
        <w:tc>
          <w:tcPr/>
          <w:p>
            <w:pPr>
              <w:pStyle w:val="Compact"/>
              <w:jc w:val="left"/>
            </w:pPr>
            <w:r>
              <w:t xml:space="preserve">D3_C3</w:t>
            </w:r>
          </w:p>
        </w:tc>
        <w:tc>
          <w:tcPr/>
          <w:p>
            <w:pPr>
              <w:pStyle w:val="Compact"/>
              <w:jc w:val="right"/>
            </w:pPr>
            <w:r>
              <w:t xml:space="preserve">0.6</w:t>
            </w:r>
          </w:p>
        </w:tc>
        <w:tc>
          <w:tcPr/>
          <w:p>
            <w:pPr>
              <w:pStyle w:val="Compact"/>
              <w:jc w:val="right"/>
            </w:pPr>
            <w:r>
              <w:t xml:space="preserve">0.1</w:t>
            </w:r>
          </w:p>
        </w:tc>
        <w:tc>
          <w:tcPr/>
          <w:p>
            <w:pPr>
              <w:pStyle w:val="Compact"/>
              <w:jc w:val="right"/>
            </w:pPr>
            <w:r>
              <w:t xml:space="preserve">8.0%</w:t>
            </w:r>
          </w:p>
        </w:tc>
        <w:tc>
          <w:tcPr/>
          <w:p>
            <w:pPr>
              <w:pStyle w:val="Compact"/>
              <w:jc w:val="right"/>
            </w:pPr>
            <w:r>
              <w:t xml:space="preserve">20.2%</w:t>
            </w:r>
          </w:p>
        </w:tc>
      </w:tr>
    </w:tbl>
    <w:bookmarkEnd w:id="36"/>
    <w:bookmarkStart w:id="37" w:name="validation-results"/>
    <w:p>
      <w:pPr>
        <w:pStyle w:val="Heading4"/>
      </w:pPr>
      <w:r>
        <w:t xml:space="preserve">3.0.2 Validation results</w:t>
      </w:r>
    </w:p>
    <w:p>
      <w:pPr>
        <w:numPr>
          <w:ilvl w:val="0"/>
          <w:numId w:val="1003"/>
        </w:numPr>
      </w:pPr>
      <w:r>
        <w:t xml:space="preserve">105 sampled points across 9 strata (48 ADD · 8 REMOVE · 49 NONCI)</w:t>
      </w:r>
    </w:p>
    <w:p>
      <w:pPr>
        <w:numPr>
          <w:ilvl w:val="0"/>
          <w:numId w:val="1003"/>
        </w:numPr>
      </w:pPr>
      <w:r>
        <w:t xml:space="preserve">93 usable validation points (both periods coded)</w:t>
      </w:r>
      <w:r>
        <w:br/>
      </w:r>
      <w:r>
        <w:t xml:space="preserve">(42 ADD · 7 REMOVE · 44 NONCI)</w:t>
      </w:r>
    </w:p>
    <w:p>
      <w:pPr>
        <w:pStyle w:val="TableCaption"/>
      </w:pPr>
      <w:r>
        <w:t xml:space="preserve">Table 3: Validation points by class and stratum (usable points only)</w:t>
      </w:r>
    </w:p>
    <w:tbl>
      <w:tblPr>
        <w:tblStyle w:val="Table"/>
        <w:tblW w:type="auto" w:w="0"/>
        <w:tblLook w:firstRow="1" w:lastRow="0" w:firstColumn="0" w:lastColumn="0" w:noHBand="0" w:noVBand="0" w:val="0020"/>
        <w:tblCaption w:val="Table 3: Validation points by class and stratum (usable points only)"/>
      </w:tblPr>
      <w:tblGrid>
        <w:gridCol w:w="1584"/>
        <w:gridCol w:w="1584"/>
        <w:gridCol w:w="1584"/>
        <w:gridCol w:w="1584"/>
        <w:gridCol w:w="1584"/>
      </w:tblGrid>
      <w:tr>
        <w:trPr>
          <w:tblHeader w:val="on"/>
        </w:trPr>
        <w:tc>
          <w:tcPr/>
          <w:p>
            <w:pPr>
              <w:pStyle w:val="Compact"/>
              <w:jc w:val="left"/>
            </w:pPr>
            <w:r>
              <w:t xml:space="preserve">stratum</w:t>
            </w:r>
          </w:p>
        </w:tc>
        <w:tc>
          <w:tcPr/>
          <w:p>
            <w:pPr>
              <w:pStyle w:val="Compact"/>
              <w:jc w:val="right"/>
            </w:pPr>
            <w:r>
              <w:t xml:space="preserve">ADD</w:t>
            </w:r>
          </w:p>
        </w:tc>
        <w:tc>
          <w:tcPr/>
          <w:p>
            <w:pPr>
              <w:pStyle w:val="Compact"/>
              <w:jc w:val="right"/>
            </w:pPr>
            <w:r>
              <w:t xml:space="preserve">REMOVE</w:t>
            </w:r>
          </w:p>
        </w:tc>
        <w:tc>
          <w:tcPr/>
          <w:p>
            <w:pPr>
              <w:pStyle w:val="Compact"/>
              <w:jc w:val="right"/>
            </w:pPr>
            <w:r>
              <w:t xml:space="preserve">NONCI</w:t>
            </w:r>
          </w:p>
        </w:tc>
        <w:tc>
          <w:tcPr/>
          <w:p>
            <w:pPr>
              <w:pStyle w:val="Compact"/>
              <w:jc w:val="right"/>
            </w:pPr>
            <w:r>
              <w:t xml:space="preserve">Total</w:t>
            </w:r>
          </w:p>
        </w:tc>
      </w:tr>
      <w:tr>
        <w:tc>
          <w:tcPr/>
          <w:p>
            <w:pPr>
              <w:pStyle w:val="Compact"/>
              <w:jc w:val="left"/>
            </w:pPr>
            <w:r>
              <w:t xml:space="preserve">D1_C1</w:t>
            </w:r>
          </w:p>
        </w:tc>
        <w:tc>
          <w:tcPr/>
          <w:p>
            <w:pPr>
              <w:pStyle w:val="Compact"/>
              <w:jc w:val="right"/>
            </w:pPr>
            <w:r>
              <w:t xml:space="preserve">5</w:t>
            </w:r>
          </w:p>
        </w:tc>
        <w:tc>
          <w:tcPr/>
          <w:p>
            <w:pPr>
              <w:pStyle w:val="Compact"/>
              <w:jc w:val="right"/>
            </w:pPr>
            <w:r>
              <w:t xml:space="preserve">1</w:t>
            </w:r>
          </w:p>
        </w:tc>
        <w:tc>
          <w:tcPr/>
          <w:p>
            <w:pPr>
              <w:pStyle w:val="Compact"/>
              <w:jc w:val="right"/>
            </w:pPr>
            <w:r>
              <w:t xml:space="preserve">4</w:t>
            </w:r>
          </w:p>
        </w:tc>
        <w:tc>
          <w:tcPr/>
          <w:p>
            <w:pPr>
              <w:pStyle w:val="Compact"/>
              <w:jc w:val="right"/>
            </w:pPr>
            <w:r>
              <w:t xml:space="preserve">10</w:t>
            </w:r>
          </w:p>
        </w:tc>
      </w:tr>
      <w:tr>
        <w:tc>
          <w:tcPr/>
          <w:p>
            <w:pPr>
              <w:pStyle w:val="Compact"/>
              <w:jc w:val="left"/>
            </w:pPr>
            <w:r>
              <w:t xml:space="preserve">D1_C2</w:t>
            </w:r>
          </w:p>
        </w:tc>
        <w:tc>
          <w:tcPr/>
          <w:p>
            <w:pPr>
              <w:pStyle w:val="Compact"/>
              <w:jc w:val="right"/>
            </w:pPr>
            <w:r>
              <w:t xml:space="preserve">8</w:t>
            </w:r>
          </w:p>
        </w:tc>
        <w:tc>
          <w:tcPr/>
          <w:p>
            <w:pPr>
              <w:pStyle w:val="Compact"/>
              <w:jc w:val="right"/>
            </w:pPr>
            <w:r>
              <w:t xml:space="preserve">1</w:t>
            </w:r>
          </w:p>
        </w:tc>
        <w:tc>
          <w:tcPr/>
          <w:p>
            <w:pPr>
              <w:pStyle w:val="Compact"/>
              <w:jc w:val="right"/>
            </w:pPr>
            <w:r>
              <w:t xml:space="preserve">4</w:t>
            </w:r>
          </w:p>
        </w:tc>
        <w:tc>
          <w:tcPr/>
          <w:p>
            <w:pPr>
              <w:pStyle w:val="Compact"/>
              <w:jc w:val="right"/>
            </w:pPr>
            <w:r>
              <w:t xml:space="preserve">13</w:t>
            </w:r>
          </w:p>
        </w:tc>
      </w:tr>
      <w:tr>
        <w:tc>
          <w:tcPr/>
          <w:p>
            <w:pPr>
              <w:pStyle w:val="Compact"/>
              <w:jc w:val="left"/>
            </w:pPr>
            <w:r>
              <w:t xml:space="preserve">D1_C3</w:t>
            </w:r>
          </w:p>
        </w:tc>
        <w:tc>
          <w:tcPr/>
          <w:p>
            <w:pPr>
              <w:pStyle w:val="Compact"/>
              <w:jc w:val="right"/>
            </w:pPr>
            <w:r>
              <w:t xml:space="preserve">6</w:t>
            </w:r>
          </w:p>
        </w:tc>
        <w:tc>
          <w:tcPr/>
          <w:p>
            <w:pPr>
              <w:pStyle w:val="Compact"/>
              <w:jc w:val="right"/>
            </w:pPr>
            <w:r>
              <w:t xml:space="preserve">1</w:t>
            </w:r>
          </w:p>
        </w:tc>
        <w:tc>
          <w:tcPr/>
          <w:p>
            <w:pPr>
              <w:pStyle w:val="Compact"/>
              <w:jc w:val="right"/>
            </w:pPr>
            <w:r>
              <w:t xml:space="preserve">5</w:t>
            </w:r>
          </w:p>
        </w:tc>
        <w:tc>
          <w:tcPr/>
          <w:p>
            <w:pPr>
              <w:pStyle w:val="Compact"/>
              <w:jc w:val="right"/>
            </w:pPr>
            <w:r>
              <w:t xml:space="preserve">12</w:t>
            </w:r>
          </w:p>
        </w:tc>
      </w:tr>
      <w:tr>
        <w:tc>
          <w:tcPr/>
          <w:p>
            <w:pPr>
              <w:pStyle w:val="Compact"/>
              <w:jc w:val="left"/>
            </w:pPr>
            <w:r>
              <w:t xml:space="preserve">D2_C1</w:t>
            </w:r>
          </w:p>
        </w:tc>
        <w:tc>
          <w:tcPr/>
          <w:p>
            <w:pPr>
              <w:pStyle w:val="Compact"/>
              <w:jc w:val="right"/>
            </w:pPr>
            <w:r>
              <w:t xml:space="preserve">2</w:t>
            </w:r>
          </w:p>
        </w:tc>
        <w:tc>
          <w:tcPr/>
          <w:p>
            <w:pPr>
              <w:pStyle w:val="Compact"/>
              <w:jc w:val="right"/>
            </w:pPr>
            <w:r>
              <w:t xml:space="preserve">2</w:t>
            </w:r>
          </w:p>
        </w:tc>
        <w:tc>
          <w:tcPr/>
          <w:p>
            <w:pPr>
              <w:pStyle w:val="Compact"/>
              <w:jc w:val="right"/>
            </w:pPr>
            <w:r>
              <w:t xml:space="preserve">6</w:t>
            </w:r>
          </w:p>
        </w:tc>
        <w:tc>
          <w:tcPr/>
          <w:p>
            <w:pPr>
              <w:pStyle w:val="Compact"/>
              <w:jc w:val="right"/>
            </w:pPr>
            <w:r>
              <w:t xml:space="preserve">10</w:t>
            </w:r>
          </w:p>
        </w:tc>
      </w:tr>
      <w:tr>
        <w:tc>
          <w:tcPr/>
          <w:p>
            <w:pPr>
              <w:pStyle w:val="Compact"/>
              <w:jc w:val="left"/>
            </w:pPr>
            <w:r>
              <w:t xml:space="preserve">D2_C2</w:t>
            </w:r>
          </w:p>
        </w:tc>
        <w:tc>
          <w:tcPr/>
          <w:p>
            <w:pPr>
              <w:pStyle w:val="Compact"/>
              <w:jc w:val="right"/>
            </w:pPr>
            <w:r>
              <w:t xml:space="preserve">5</w:t>
            </w:r>
          </w:p>
        </w:tc>
        <w:tc>
          <w:tcPr/>
          <w:p>
            <w:pPr>
              <w:pStyle w:val="Compact"/>
              <w:jc w:val="right"/>
            </w:pPr>
            <w:r>
              <w:t xml:space="preserve">0</w:t>
            </w:r>
          </w:p>
        </w:tc>
        <w:tc>
          <w:tcPr/>
          <w:p>
            <w:pPr>
              <w:pStyle w:val="Compact"/>
              <w:jc w:val="right"/>
            </w:pPr>
            <w:r>
              <w:t xml:space="preserve">6</w:t>
            </w:r>
          </w:p>
        </w:tc>
        <w:tc>
          <w:tcPr/>
          <w:p>
            <w:pPr>
              <w:pStyle w:val="Compact"/>
              <w:jc w:val="right"/>
            </w:pPr>
            <w:r>
              <w:t xml:space="preserve">11</w:t>
            </w:r>
          </w:p>
        </w:tc>
      </w:tr>
      <w:tr>
        <w:tc>
          <w:tcPr/>
          <w:p>
            <w:pPr>
              <w:pStyle w:val="Compact"/>
              <w:jc w:val="left"/>
            </w:pPr>
            <w:r>
              <w:t xml:space="preserve">D2_C3</w:t>
            </w:r>
          </w:p>
        </w:tc>
        <w:tc>
          <w:tcPr/>
          <w:p>
            <w:pPr>
              <w:pStyle w:val="Compact"/>
              <w:jc w:val="right"/>
            </w:pPr>
            <w:r>
              <w:t xml:space="preserve">4</w:t>
            </w:r>
          </w:p>
        </w:tc>
        <w:tc>
          <w:tcPr/>
          <w:p>
            <w:pPr>
              <w:pStyle w:val="Compact"/>
              <w:jc w:val="right"/>
            </w:pPr>
            <w:r>
              <w:t xml:space="preserve">1</w:t>
            </w:r>
          </w:p>
        </w:tc>
        <w:tc>
          <w:tcPr/>
          <w:p>
            <w:pPr>
              <w:pStyle w:val="Compact"/>
              <w:jc w:val="right"/>
            </w:pPr>
            <w:r>
              <w:t xml:space="preserve">4</w:t>
            </w:r>
          </w:p>
        </w:tc>
        <w:tc>
          <w:tcPr/>
          <w:p>
            <w:pPr>
              <w:pStyle w:val="Compact"/>
              <w:jc w:val="right"/>
            </w:pPr>
            <w:r>
              <w:t xml:space="preserve">9</w:t>
            </w:r>
          </w:p>
        </w:tc>
      </w:tr>
      <w:tr>
        <w:tc>
          <w:tcPr/>
          <w:p>
            <w:pPr>
              <w:pStyle w:val="Compact"/>
              <w:jc w:val="left"/>
            </w:pPr>
            <w:r>
              <w:t xml:space="preserve">D3_C1</w:t>
            </w:r>
          </w:p>
        </w:tc>
        <w:tc>
          <w:tcPr/>
          <w:p>
            <w:pPr>
              <w:pStyle w:val="Compact"/>
              <w:jc w:val="right"/>
            </w:pPr>
            <w:r>
              <w:t xml:space="preserve">1</w:t>
            </w:r>
          </w:p>
        </w:tc>
        <w:tc>
          <w:tcPr/>
          <w:p>
            <w:pPr>
              <w:pStyle w:val="Compact"/>
              <w:jc w:val="right"/>
            </w:pPr>
            <w:r>
              <w:t xml:space="preserve">0</w:t>
            </w:r>
          </w:p>
        </w:tc>
        <w:tc>
          <w:tcPr/>
          <w:p>
            <w:pPr>
              <w:pStyle w:val="Compact"/>
              <w:jc w:val="right"/>
            </w:pPr>
            <w:r>
              <w:t xml:space="preserve">5</w:t>
            </w:r>
          </w:p>
        </w:tc>
        <w:tc>
          <w:tcPr/>
          <w:p>
            <w:pPr>
              <w:pStyle w:val="Compact"/>
              <w:jc w:val="right"/>
            </w:pPr>
            <w:r>
              <w:t xml:space="preserve">6</w:t>
            </w:r>
          </w:p>
        </w:tc>
      </w:tr>
      <w:tr>
        <w:tc>
          <w:tcPr/>
          <w:p>
            <w:pPr>
              <w:pStyle w:val="Compact"/>
              <w:jc w:val="left"/>
            </w:pPr>
            <w:r>
              <w:t xml:space="preserve">D3_C2</w:t>
            </w:r>
          </w:p>
        </w:tc>
        <w:tc>
          <w:tcPr/>
          <w:p>
            <w:pPr>
              <w:pStyle w:val="Compact"/>
              <w:jc w:val="right"/>
            </w:pPr>
            <w:r>
              <w:t xml:space="preserve">7</w:t>
            </w:r>
          </w:p>
        </w:tc>
        <w:tc>
          <w:tcPr/>
          <w:p>
            <w:pPr>
              <w:pStyle w:val="Compact"/>
              <w:jc w:val="right"/>
            </w:pPr>
            <w:r>
              <w:t xml:space="preserve">0</w:t>
            </w:r>
          </w:p>
        </w:tc>
        <w:tc>
          <w:tcPr/>
          <w:p>
            <w:pPr>
              <w:pStyle w:val="Compact"/>
              <w:jc w:val="right"/>
            </w:pPr>
            <w:r>
              <w:t xml:space="preserve">5</w:t>
            </w:r>
          </w:p>
        </w:tc>
        <w:tc>
          <w:tcPr/>
          <w:p>
            <w:pPr>
              <w:pStyle w:val="Compact"/>
              <w:jc w:val="right"/>
            </w:pPr>
            <w:r>
              <w:t xml:space="preserve">12</w:t>
            </w:r>
          </w:p>
        </w:tc>
      </w:tr>
      <w:tr>
        <w:tc>
          <w:tcPr/>
          <w:p>
            <w:pPr>
              <w:pStyle w:val="Compact"/>
              <w:jc w:val="left"/>
            </w:pPr>
            <w:r>
              <w:t xml:space="preserve">D3_C3</w:t>
            </w:r>
          </w:p>
        </w:tc>
        <w:tc>
          <w:tcPr/>
          <w:p>
            <w:pPr>
              <w:pStyle w:val="Compact"/>
              <w:jc w:val="right"/>
            </w:pPr>
            <w:r>
              <w:t xml:space="preserve">4</w:t>
            </w:r>
          </w:p>
        </w:tc>
        <w:tc>
          <w:tcPr/>
          <w:p>
            <w:pPr>
              <w:pStyle w:val="Compact"/>
              <w:jc w:val="right"/>
            </w:pPr>
            <w:r>
              <w:t xml:space="preserve">1</w:t>
            </w:r>
          </w:p>
        </w:tc>
        <w:tc>
          <w:tcPr/>
          <w:p>
            <w:pPr>
              <w:pStyle w:val="Compact"/>
              <w:jc w:val="right"/>
            </w:pPr>
            <w:r>
              <w:t xml:space="preserve">5</w:t>
            </w:r>
          </w:p>
        </w:tc>
        <w:tc>
          <w:tcPr/>
          <w:p>
            <w:pPr>
              <w:pStyle w:val="Compact"/>
              <w:jc w:val="right"/>
            </w:pPr>
            <w:r>
              <w:t xml:space="preserve">10</w:t>
            </w:r>
          </w:p>
        </w:tc>
      </w:tr>
      <w:tr>
        <w:tc>
          <w:tcPr/>
          <w:p>
            <w:pPr>
              <w:pStyle w:val="Compact"/>
              <w:jc w:val="left"/>
            </w:pPr>
            <w:r>
              <w:t xml:space="preserve">TOTAL</w:t>
            </w:r>
          </w:p>
        </w:tc>
        <w:tc>
          <w:tcPr/>
          <w:p>
            <w:pPr>
              <w:pStyle w:val="Compact"/>
              <w:jc w:val="right"/>
            </w:pPr>
            <w:r>
              <w:t xml:space="preserve">42</w:t>
            </w:r>
          </w:p>
        </w:tc>
        <w:tc>
          <w:tcPr/>
          <w:p>
            <w:pPr>
              <w:pStyle w:val="Compact"/>
              <w:jc w:val="right"/>
            </w:pPr>
            <w:r>
              <w:t xml:space="preserve">7</w:t>
            </w:r>
          </w:p>
        </w:tc>
        <w:tc>
          <w:tcPr/>
          <w:p>
            <w:pPr>
              <w:pStyle w:val="Compact"/>
              <w:jc w:val="right"/>
            </w:pPr>
            <w:r>
              <w:t xml:space="preserve">44</w:t>
            </w:r>
          </w:p>
        </w:tc>
        <w:tc>
          <w:tcPr/>
          <w:p>
            <w:pPr>
              <w:pStyle w:val="Compact"/>
              <w:jc w:val="right"/>
            </w:pPr>
            <w:r>
              <w:t xml:space="preserve">93</w:t>
            </w:r>
          </w:p>
        </w:tc>
      </w:tr>
    </w:tbl>
    <w:p>
      <w:pPr>
        <w:pStyle w:val="BodyText"/>
      </w:pPr>
      <w:r>
        <w:t xml:space="preserve"> </w:t>
      </w:r>
    </w:p>
    <w:p>
      <w:pPr>
        <w:pStyle w:val="TableCaption"/>
      </w:pPr>
      <w:r>
        <w:t xml:space="preserve">Table 4: Validation performance (usable points only)</w:t>
      </w:r>
    </w:p>
    <w:tbl>
      <w:tblPr>
        <w:tblStyle w:val="Table"/>
        <w:tblW w:type="pct" w:w="5000"/>
        <w:tblLayout w:type="fixed"/>
        <w:tblLook w:firstRow="1" w:lastRow="0" w:firstColumn="0" w:lastColumn="0" w:noHBand="0" w:noVBand="0" w:val="0020"/>
        <w:tblCaption w:val="Table 4: Validation performance (usable points only)"/>
      </w:tblPr>
      <w:tblGrid>
        <w:gridCol w:w="815"/>
        <w:gridCol w:w="1281"/>
        <w:gridCol w:w="349"/>
        <w:gridCol w:w="349"/>
        <w:gridCol w:w="349"/>
        <w:gridCol w:w="2212"/>
        <w:gridCol w:w="1980"/>
        <w:gridCol w:w="582"/>
      </w:tblGrid>
      <w:tr>
        <w:trPr>
          <w:tblHeader w:val="on"/>
        </w:trPr>
        <w:tc>
          <w:tcPr/>
          <w:p>
            <w:pPr>
              <w:pStyle w:val="Compact"/>
              <w:jc w:val="left"/>
            </w:pPr>
            <w:r>
              <w:t xml:space="preserve">Class</w:t>
            </w:r>
          </w:p>
        </w:tc>
        <w:tc>
          <w:tcPr/>
          <w:p>
            <w:pPr>
              <w:pStyle w:val="Compact"/>
              <w:jc w:val="right"/>
            </w:pPr>
            <w:r>
              <w:t xml:space="preserve">n (usable)</w:t>
            </w:r>
          </w:p>
        </w:tc>
        <w:tc>
          <w:tcPr/>
          <w:p>
            <w:pPr>
              <w:pStyle w:val="Compact"/>
              <w:jc w:val="right"/>
            </w:pPr>
            <w:r>
              <w:t xml:space="preserve">TP</w:t>
            </w:r>
          </w:p>
        </w:tc>
        <w:tc>
          <w:tcPr/>
          <w:p>
            <w:pPr>
              <w:pStyle w:val="Compact"/>
              <w:jc w:val="right"/>
            </w:pPr>
            <w:r>
              <w:t xml:space="preserve">FP</w:t>
            </w:r>
          </w:p>
        </w:tc>
        <w:tc>
          <w:tcPr/>
          <w:p>
            <w:pPr>
              <w:pStyle w:val="Compact"/>
              <w:jc w:val="right"/>
            </w:pPr>
            <w:r>
              <w:t xml:space="preserve">FN</w:t>
            </w:r>
          </w:p>
        </w:tc>
        <w:tc>
          <w:tcPr/>
          <w:p>
            <w:pPr>
              <w:pStyle w:val="Compact"/>
              <w:jc w:val="right"/>
            </w:pPr>
            <w:r>
              <w:t xml:space="preserve">Precision (95% CI)</w:t>
            </w:r>
          </w:p>
        </w:tc>
        <w:tc>
          <w:tcPr/>
          <w:p>
            <w:pPr>
              <w:pStyle w:val="Compact"/>
              <w:jc w:val="right"/>
            </w:pPr>
            <w:r>
              <w:t xml:space="preserve">Recall (95% CI)</w:t>
            </w:r>
          </w:p>
        </w:tc>
        <w:tc>
          <w:tcPr/>
          <w:p>
            <w:pPr>
              <w:pStyle w:val="Compact"/>
              <w:jc w:val="right"/>
            </w:pPr>
            <w:r>
              <w:t xml:space="preserve">F1</w:t>
            </w:r>
          </w:p>
        </w:tc>
      </w:tr>
      <w:tr>
        <w:tc>
          <w:tcPr/>
          <w:p>
            <w:pPr>
              <w:pStyle w:val="Compact"/>
              <w:jc w:val="left"/>
            </w:pPr>
            <w:r>
              <w:t xml:space="preserve">ADD</w:t>
            </w:r>
          </w:p>
        </w:tc>
        <w:tc>
          <w:tcPr/>
          <w:p>
            <w:pPr>
              <w:pStyle w:val="Compact"/>
              <w:jc w:val="right"/>
            </w:pPr>
            <w:r>
              <w:t xml:space="preserve">42</w:t>
            </w:r>
          </w:p>
        </w:tc>
        <w:tc>
          <w:tcPr/>
          <w:p>
            <w:pPr>
              <w:pStyle w:val="Compact"/>
              <w:jc w:val="right"/>
            </w:pPr>
            <w:r>
              <w:t xml:space="preserve">34</w:t>
            </w:r>
          </w:p>
        </w:tc>
        <w:tc>
          <w:tcPr/>
          <w:p>
            <w:pPr>
              <w:pStyle w:val="Compact"/>
              <w:jc w:val="right"/>
            </w:pPr>
            <w:r>
              <w:t xml:space="preserve">8</w:t>
            </w:r>
          </w:p>
        </w:tc>
        <w:tc>
          <w:tcPr/>
          <w:p>
            <w:pPr>
              <w:pStyle w:val="Compact"/>
              <w:jc w:val="right"/>
            </w:pPr>
            <w:r>
              <w:t xml:space="preserve">0</w:t>
            </w:r>
          </w:p>
        </w:tc>
        <w:tc>
          <w:tcPr/>
          <w:p>
            <w:pPr>
              <w:pStyle w:val="Compact"/>
              <w:jc w:val="right"/>
            </w:pPr>
            <w:r>
              <w:t xml:space="preserve">0.81 [0.67-0.90]</w:t>
            </w:r>
          </w:p>
        </w:tc>
        <w:tc>
          <w:tcPr/>
          <w:p>
            <w:pPr>
              <w:pStyle w:val="Compact"/>
              <w:jc w:val="right"/>
            </w:pPr>
            <w:r>
              <w:t xml:space="preserve">1.00 [0.90-1.00]</w:t>
            </w:r>
          </w:p>
        </w:tc>
        <w:tc>
          <w:tcPr/>
          <w:p>
            <w:pPr>
              <w:pStyle w:val="Compact"/>
              <w:jc w:val="right"/>
            </w:pPr>
            <w:r>
              <w:t xml:space="preserve">0.89</w:t>
            </w:r>
          </w:p>
        </w:tc>
      </w:tr>
      <w:tr>
        <w:tc>
          <w:tcPr/>
          <w:p>
            <w:pPr>
              <w:pStyle w:val="Compact"/>
              <w:jc w:val="left"/>
            </w:pPr>
            <w:r>
              <w:t xml:space="preserve">REMOVE</w:t>
            </w:r>
          </w:p>
        </w:tc>
        <w:tc>
          <w:tcPr/>
          <w:p>
            <w:pPr>
              <w:pStyle w:val="Compact"/>
              <w:jc w:val="right"/>
            </w:pPr>
            <w:r>
              <w:t xml:space="preserve">7</w:t>
            </w:r>
          </w:p>
        </w:tc>
        <w:tc>
          <w:tcPr/>
          <w:p>
            <w:pPr>
              <w:pStyle w:val="Compact"/>
              <w:jc w:val="right"/>
            </w:pPr>
            <w:r>
              <w:t xml:space="preserve">2</w:t>
            </w:r>
          </w:p>
        </w:tc>
        <w:tc>
          <w:tcPr/>
          <w:p>
            <w:pPr>
              <w:pStyle w:val="Compact"/>
              <w:jc w:val="right"/>
            </w:pPr>
            <w:r>
              <w:t xml:space="preserve">5</w:t>
            </w:r>
          </w:p>
        </w:tc>
        <w:tc>
          <w:tcPr/>
          <w:p>
            <w:pPr>
              <w:pStyle w:val="Compact"/>
              <w:jc w:val="right"/>
            </w:pPr>
            <w:r>
              <w:t xml:space="preserve">0</w:t>
            </w:r>
          </w:p>
        </w:tc>
        <w:tc>
          <w:tcPr/>
          <w:p>
            <w:pPr>
              <w:pStyle w:val="Compact"/>
              <w:jc w:val="right"/>
            </w:pPr>
            <w:r>
              <w:t xml:space="preserve">0.29 [0.08-0.64]</w:t>
            </w:r>
          </w:p>
        </w:tc>
        <w:tc>
          <w:tcPr/>
          <w:p>
            <w:pPr>
              <w:pStyle w:val="Compact"/>
              <w:jc w:val="right"/>
            </w:pPr>
            <w:r>
              <w:t xml:space="preserve">1.00 [0.34-1.00]</w:t>
            </w:r>
          </w:p>
        </w:tc>
        <w:tc>
          <w:tcPr/>
          <w:p>
            <w:pPr>
              <w:pStyle w:val="Compact"/>
              <w:jc w:val="right"/>
            </w:pPr>
            <w:r>
              <w:t xml:space="preserve">0.44</w:t>
            </w:r>
          </w:p>
        </w:tc>
      </w:tr>
      <w:tr>
        <w:tc>
          <w:tcPr/>
          <w:p>
            <w:pPr>
              <w:pStyle w:val="Compact"/>
              <w:jc w:val="left"/>
            </w:pPr>
            <w:r>
              <w:t xml:space="preserve">Pooled</w:t>
            </w:r>
          </w:p>
        </w:tc>
        <w:tc>
          <w:tcPr/>
          <w:p>
            <w:pPr>
              <w:pStyle w:val="Compact"/>
              <w:jc w:val="right"/>
            </w:pPr>
            <w:r>
              <w:t xml:space="preserve">49</w:t>
            </w:r>
          </w:p>
        </w:tc>
        <w:tc>
          <w:tcPr/>
          <w:p>
            <w:pPr>
              <w:pStyle w:val="Compact"/>
              <w:jc w:val="right"/>
            </w:pPr>
            <w:r>
              <w:t xml:space="preserve">36</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0.73 [0.60-0.84]</w:t>
            </w:r>
          </w:p>
        </w:tc>
        <w:tc>
          <w:tcPr/>
          <w:p>
            <w:pPr>
              <w:pStyle w:val="Compact"/>
              <w:jc w:val="right"/>
            </w:pPr>
            <w:r>
              <w:t xml:space="preserve">1.00 [0.90-1.00]</w:t>
            </w:r>
          </w:p>
        </w:tc>
        <w:tc>
          <w:tcPr/>
          <w:p>
            <w:pPr>
              <w:pStyle w:val="Compact"/>
              <w:jc w:val="right"/>
            </w:pPr>
            <w:r>
              <w:t xml:space="preserve">0.85</w:t>
            </w:r>
          </w:p>
        </w:tc>
      </w:tr>
    </w:tbl>
    <w:bookmarkEnd w:id="37"/>
    <w:bookmarkEnd w:id="38"/>
    <w:bookmarkStart w:id="41" w:name="interpretation-and-calibration"/>
    <w:p>
      <w:pPr>
        <w:pStyle w:val="Heading2"/>
      </w:pPr>
      <w:r>
        <w:t xml:space="preserve">4 Interpretation and calibration</w:t>
      </w:r>
    </w:p>
    <w:bookmarkStart w:id="39" w:name="interpretation"/>
    <w:p>
      <w:pPr>
        <w:pStyle w:val="Heading4"/>
      </w:pPr>
      <w:r>
        <w:t xml:space="preserve">4.0.1 Interpretation</w:t>
      </w:r>
    </w:p>
    <w:p>
      <w:pPr>
        <w:numPr>
          <w:ilvl w:val="0"/>
          <w:numId w:val="1004"/>
        </w:numPr>
      </w:pPr>
      <w:r>
        <w:t xml:space="preserve">OSM captures nearly all true additions (</w:t>
      </w:r>
      <w:r>
        <w:rPr>
          <w:b/>
          <w:bCs/>
        </w:rPr>
        <w:t xml:space="preserve">recall = 1.00</w:t>
      </w:r>
      <w:r>
        <w:t xml:space="preserve">) but includes several false positives (</w:t>
      </w:r>
      <w:r>
        <w:rPr>
          <w:b/>
          <w:bCs/>
        </w:rPr>
        <w:t xml:space="preserve">precision ≈ 0.81</w:t>
      </w:r>
      <w:r>
        <w:t xml:space="preserve">).</w:t>
      </w:r>
      <w:r>
        <w:br/>
      </w:r>
      <w:r>
        <w:t xml:space="preserve">For removals, OSM rarely identifies true cases (</w:t>
      </w:r>
      <w:r>
        <w:rPr>
          <w:b/>
          <w:bCs/>
        </w:rPr>
        <w:t xml:space="preserve">precision ≈ 0.29</w:t>
      </w:r>
      <w:r>
        <w:t xml:space="preserve">) and often flags false ones, although recall remains high for the few real removals present.</w:t>
      </w:r>
    </w:p>
    <w:p>
      <w:pPr>
        <w:numPr>
          <w:ilvl w:val="0"/>
          <w:numId w:val="1004"/>
        </w:numPr>
      </w:pPr>
      <w:r>
        <w:t xml:space="preserve">Most errors stem from</w:t>
      </w:r>
      <w:r>
        <w:t xml:space="preserve"> </w:t>
      </w:r>
      <w:r>
        <w:rPr>
          <w:b/>
          <w:bCs/>
        </w:rPr>
        <w:t xml:space="preserve">re-tagging, micro-geometry adjustments</w:t>
      </w:r>
      <w:r>
        <w:t xml:space="preserve">, or</w:t>
      </w:r>
      <w:r>
        <w:t xml:space="preserve"> </w:t>
      </w:r>
      <w:r>
        <w:rPr>
          <w:b/>
          <w:bCs/>
        </w:rPr>
        <w:t xml:space="preserve">short-term mapping churn</w:t>
      </w:r>
      <w:r>
        <w:t xml:space="preserve">, which can appear as artificial additions or removals between snapshots.</w:t>
      </w:r>
    </w:p>
    <w:p>
      <w:pPr>
        <w:numPr>
          <w:ilvl w:val="0"/>
          <w:numId w:val="1004"/>
        </w:numPr>
      </w:pPr>
      <w:r>
        <w:t xml:space="preserve">Overall,</w:t>
      </w:r>
      <w:r>
        <w:t xml:space="preserve"> </w:t>
      </w:r>
      <w:r>
        <w:rPr>
          <w:b/>
          <w:bCs/>
        </w:rPr>
        <w:t xml:space="preserve">OSM is a reliable proxy for additions but a weak proxy for removals</w:t>
      </w:r>
      <w:r>
        <w:t xml:space="preserve">, slightly</w:t>
      </w:r>
      <w:r>
        <w:t xml:space="preserve"> </w:t>
      </w:r>
      <w:r>
        <w:rPr>
          <w:b/>
          <w:bCs/>
        </w:rPr>
        <w:t xml:space="preserve">overstating net cycling-network growth</w:t>
      </w:r>
      <w:r>
        <w:t xml:space="preserve">.</w:t>
      </w:r>
    </w:p>
    <w:bookmarkEnd w:id="39"/>
    <w:bookmarkStart w:id="40" w:name="calibration-potential"/>
    <w:p>
      <w:pPr>
        <w:pStyle w:val="Heading4"/>
      </w:pPr>
      <w:r>
        <w:t xml:space="preserve">4.0.2 Calibration potential</w:t>
      </w:r>
    </w:p>
    <w:p>
      <w:pPr>
        <w:pStyle w:val="Compact"/>
        <w:numPr>
          <w:ilvl w:val="0"/>
          <w:numId w:val="1005"/>
        </w:numPr>
      </w:pPr>
      <w:r>
        <w:t xml:space="preserve">These metrics can be used to</w:t>
      </w:r>
      <w:r>
        <w:t xml:space="preserve"> </w:t>
      </w:r>
      <w:r>
        <w:rPr>
          <w:b/>
          <w:bCs/>
        </w:rPr>
        <w:t xml:space="preserve">calibrate OSM-derived estimates</w:t>
      </w:r>
      <w:r>
        <w:t xml:space="preserve"> </w:t>
      </w:r>
      <w:r>
        <w:t xml:space="preserve">of network change.</w:t>
      </w:r>
    </w:p>
    <w:p>
      <w:pPr>
        <w:pStyle w:val="BlockText"/>
      </w:pPr>
      <w:r>
        <w:t xml:space="preserve">For example, with</w:t>
      </w:r>
      <w:r>
        <w:t xml:space="preserve"> </w:t>
      </w:r>
      <w:r>
        <w:rPr>
          <w:b/>
          <w:bCs/>
        </w:rPr>
        <w:t xml:space="preserve">precision = 0.81</w:t>
      </w:r>
      <w:r>
        <w:t xml:space="preserve">, multiplying OSM-detected additions by 0.81 yields a closer estimate of true additions.</w:t>
      </w:r>
    </w:p>
    <w:p>
      <w:pPr>
        <w:pStyle w:val="Compact"/>
        <w:numPr>
          <w:ilvl w:val="0"/>
          <w:numId w:val="1006"/>
        </w:numPr>
      </w:pPr>
      <w:r>
        <w:t xml:space="preserve">Stratified validation can further support</w:t>
      </w:r>
      <w:r>
        <w:t xml:space="preserve"> </w:t>
      </w:r>
      <w:r>
        <w:rPr>
          <w:b/>
          <w:bCs/>
        </w:rPr>
        <w:t xml:space="preserve">spatial calibration</w:t>
      </w:r>
      <w:r>
        <w:t xml:space="preserve"> </w:t>
      </w:r>
      <w:r>
        <w:t xml:space="preserve">and</w:t>
      </w:r>
      <w:r>
        <w:t xml:space="preserve"> </w:t>
      </w:r>
      <w:r>
        <w:rPr>
          <w:b/>
          <w:bCs/>
        </w:rPr>
        <w:t xml:space="preserve">cross-city comparability</w:t>
      </w:r>
      <w:r>
        <w:t xml:space="preserve"> </w:t>
      </w:r>
      <w:r>
        <w:t xml:space="preserve">in multi-city analyses.</w:t>
      </w:r>
    </w:p>
    <w:bookmarkEnd w:id="40"/>
    <w:bookmarkEnd w:id="41"/>
    <w:bookmarkStart w:id="42" w:name="references"/>
    <w:p>
      <w:pPr>
        <w:pStyle w:val="Heading2"/>
      </w:pPr>
      <w:r>
        <w:t xml:space="preserve">References</w:t>
      </w:r>
    </w:p>
    <w:bookmarkEnd w:id="42"/>
    <w:bookmarkStart w:id="64" w:name="supplements"/>
    <w:p>
      <w:pPr>
        <w:pStyle w:val="Heading2"/>
      </w:pPr>
      <w:r>
        <w:t xml:space="preserve">Supplements</w:t>
      </w:r>
    </w:p>
    <w:bookmarkStart w:id="44" w:name="X69a85cbc4f955e115e902442b3da35e26b3388b"/>
    <w:p>
      <w:pPr>
        <w:pStyle w:val="Heading4"/>
      </w:pPr>
      <w:r>
        <w:t xml:space="preserve">4.0.3 S1. Google Street View coding protocol (PDF)</w:t>
      </w:r>
    </w:p>
    <w:p>
      <w:pPr>
        <w:pStyle w:val="FirstParagraph"/>
      </w:pPr>
      <w:hyperlink r:id="rId43">
        <w:r>
          <w:rPr>
            <w:rStyle w:val="Hyperlink"/>
          </w:rPr>
          <w:t xml:space="preserve">Download here</w:t>
        </w:r>
      </w:hyperlink>
    </w:p>
    <w:bookmarkEnd w:id="44"/>
    <w:bookmarkStart w:id="47" w:name="X98d3c858b972d8843add6512e3bc8097b5c0029"/>
    <w:p>
      <w:pPr>
        <w:pStyle w:val="Heading4"/>
      </w:pPr>
      <w:r>
        <w:t xml:space="preserve">4.0.4 S2. Raw validation workbooks: coder 1 and coder 2 (XLSX)</w:t>
      </w:r>
    </w:p>
    <w:p>
      <w:pPr>
        <w:pStyle w:val="FirstParagraph"/>
      </w:pPr>
      <w:hyperlink r:id="rId45">
        <w:r>
          <w:rPr>
            <w:rStyle w:val="Hyperlink"/>
          </w:rPr>
          <w:t xml:space="preserve">Download coder 1</w:t>
        </w:r>
      </w:hyperlink>
      <w:r>
        <w:br/>
      </w:r>
      <w:hyperlink r:id="rId46">
        <w:r>
          <w:rPr>
            <w:rStyle w:val="Hyperlink"/>
          </w:rPr>
          <w:t xml:space="preserve">Download coder 2</w:t>
        </w:r>
      </w:hyperlink>
    </w:p>
    <w:bookmarkEnd w:id="47"/>
    <w:bookmarkStart w:id="63" w:name="X71837c54db1a76e4181c65d47eff3b84b0664c8"/>
    <w:p>
      <w:pPr>
        <w:pStyle w:val="Heading4"/>
      </w:pPr>
      <w:r>
        <w:t xml:space="preserve">4.0.5 S3. Final adjudicated validation results (XLSX)</w:t>
      </w:r>
    </w:p>
    <w:p>
      <w:pPr>
        <w:pStyle w:val="FirstParagraph"/>
      </w:pPr>
      <w:hyperlink r:id="rId48">
        <w:r>
          <w:rPr>
            <w:rStyle w:val="Hyperlink"/>
          </w:rPr>
          <w:t xml:space="preserve">Download joined results</w:t>
        </w:r>
      </w:hyperlink>
    </w:p>
    <w:bookmarkStart w:id="62" w:name="refs"/>
    <w:bookmarkStart w:id="50" w:name="ref-barron_comprehensive_2014"/>
    <w:p>
      <w:pPr>
        <w:pStyle w:val="Bibliography"/>
      </w:pPr>
      <w:r>
        <w:t xml:space="preserve">Barron, Christopher, Pascal Neis, and Alexander Zipf. 2014.</w:t>
      </w:r>
      <w:r>
        <w:t xml:space="preserve"> </w:t>
      </w:r>
      <w:r>
        <w:t xml:space="preserve">“A</w:t>
      </w:r>
      <w:r>
        <w:t xml:space="preserve"> </w:t>
      </w:r>
      <w:r>
        <w:t xml:space="preserve">Comprehensive</w:t>
      </w:r>
      <w:r>
        <w:t xml:space="preserve"> </w:t>
      </w:r>
      <w:r>
        <w:t xml:space="preserve">Framework</w:t>
      </w:r>
      <w:r>
        <w:t xml:space="preserve"> </w:t>
      </w:r>
      <w:r>
        <w:t xml:space="preserve">for</w:t>
      </w:r>
      <w:r>
        <w:t xml:space="preserve"> </w:t>
      </w:r>
      <w:r>
        <w:t xml:space="preserve">Intrinsic</w:t>
      </w:r>
      <w:r>
        <w:t xml:space="preserve"> </w:t>
      </w:r>
      <w:r>
        <w:t xml:space="preserve">OpenStreetMap</w:t>
      </w:r>
      <w:r>
        <w:t xml:space="preserve"> </w:t>
      </w:r>
      <w:r>
        <w:t xml:space="preserve">Quality</w:t>
      </w:r>
      <w:r>
        <w:t xml:space="preserve"> </w:t>
      </w:r>
      <w:r>
        <w:t xml:space="preserve">Analysis</w:t>
      </w:r>
      <w:r>
        <w:t xml:space="preserve">.”</w:t>
      </w:r>
      <w:r>
        <w:t xml:space="preserve"> </w:t>
      </w:r>
      <w:r>
        <w:rPr>
          <w:i/>
          <w:iCs/>
        </w:rPr>
        <w:t xml:space="preserve">Transactions in GIS</w:t>
      </w:r>
      <w:r>
        <w:t xml:space="preserve"> </w:t>
      </w:r>
      <w:r>
        <w:t xml:space="preserve">18 (6): 877–95.</w:t>
      </w:r>
      <w:r>
        <w:t xml:space="preserve"> </w:t>
      </w:r>
      <w:hyperlink r:id="rId49">
        <w:r>
          <w:rPr>
            <w:rStyle w:val="Hyperlink"/>
          </w:rPr>
          <w:t xml:space="preserve">https://doi.org/10.1111/tgis.12073</w:t>
        </w:r>
      </w:hyperlink>
      <w:r>
        <w:t xml:space="preserve">.</w:t>
      </w:r>
    </w:p>
    <w:bookmarkEnd w:id="50"/>
    <w:bookmarkStart w:id="51" w:name="ref-buehler_cycling_2021"/>
    <w:p>
      <w:pPr>
        <w:pStyle w:val="Bibliography"/>
      </w:pPr>
      <w:r>
        <w:t xml:space="preserve">Buehler, Ralph, and John Pucher, eds. 2021.</w:t>
      </w:r>
      <w:r>
        <w:t xml:space="preserve"> </w:t>
      </w:r>
      <w:r>
        <w:rPr>
          <w:i/>
          <w:iCs/>
        </w:rPr>
        <w:t xml:space="preserve">Cycling for Sustainable Cities</w:t>
      </w:r>
      <w:r>
        <w:t xml:space="preserve">. Urban and</w:t>
      </w:r>
      <w:r>
        <w:t xml:space="preserve"> </w:t>
      </w:r>
      <w:r>
        <w:t xml:space="preserve">Industrial</w:t>
      </w:r>
      <w:r>
        <w:t xml:space="preserve"> </w:t>
      </w:r>
      <w:r>
        <w:t xml:space="preserve">Environments</w:t>
      </w:r>
      <w:r>
        <w:t xml:space="preserve">. Cambridge: MIT Press.</w:t>
      </w:r>
    </w:p>
    <w:bookmarkEnd w:id="51"/>
    <w:bookmarkStart w:id="53" w:name="ref-ferster_using_2020"/>
    <w:p>
      <w:pPr>
        <w:pStyle w:val="Bibliography"/>
      </w:pPr>
      <w:r>
        <w:t xml:space="preserve">Ferster, Colin, Jaimy Fischer, Kevin Manaugh, Trisalyn Nelson, and Meghan Winters. 2020.</w:t>
      </w:r>
      <w:r>
        <w:t xml:space="preserve"> </w:t>
      </w:r>
      <w:r>
        <w:t xml:space="preserve">“Using</w:t>
      </w:r>
      <w:r>
        <w:t xml:space="preserve"> </w:t>
      </w:r>
      <w:r>
        <w:t xml:space="preserve">OpenStreetMap</w:t>
      </w:r>
      <w:r>
        <w:t xml:space="preserve"> </w:t>
      </w:r>
      <w:r>
        <w:t xml:space="preserve">to Inventory Bicycle Infrastructure:</w:t>
      </w:r>
      <w:r>
        <w:t xml:space="preserve"> </w:t>
      </w:r>
      <w:r>
        <w:t xml:space="preserve">A</w:t>
      </w:r>
      <w:r>
        <w:t xml:space="preserve"> </w:t>
      </w:r>
      <w:r>
        <w:t xml:space="preserve">Comparison with Open Data from Cities.”</w:t>
      </w:r>
      <w:r>
        <w:t xml:space="preserve"> </w:t>
      </w:r>
      <w:r>
        <w:rPr>
          <w:i/>
          <w:iCs/>
        </w:rPr>
        <w:t xml:space="preserve">International Journal of Sustainable Transportation</w:t>
      </w:r>
      <w:r>
        <w:t xml:space="preserve"> </w:t>
      </w:r>
      <w:r>
        <w:t xml:space="preserve">14 (1): 64–73.</w:t>
      </w:r>
      <w:r>
        <w:t xml:space="preserve"> </w:t>
      </w:r>
      <w:hyperlink r:id="rId52">
        <w:r>
          <w:rPr>
            <w:rStyle w:val="Hyperlink"/>
          </w:rPr>
          <w:t xml:space="preserve">https://doi.org/10.1080/15568318.2018.1519746</w:t>
        </w:r>
      </w:hyperlink>
      <w:r>
        <w:t xml:space="preserve">.</w:t>
      </w:r>
    </w:p>
    <w:bookmarkEnd w:id="53"/>
    <w:bookmarkStart w:id="55" w:name="ref-gemott_research_group_atrapa_2025"/>
    <w:p>
      <w:pPr>
        <w:pStyle w:val="Bibliography"/>
      </w:pPr>
      <w:r>
        <w:t xml:space="preserve">GEMOTT Research Group. 2025.</w:t>
      </w:r>
      <w:r>
        <w:t xml:space="preserve"> </w:t>
      </w:r>
      <w:r>
        <w:t xml:space="preserve">“</w:t>
      </w:r>
      <w:r>
        <w:t xml:space="preserve">ATRAPA</w:t>
      </w:r>
      <w:r>
        <w:t xml:space="preserve"> </w:t>
      </w:r>
      <w:r>
        <w:t xml:space="preserve">–</w:t>
      </w:r>
      <w:r>
        <w:t xml:space="preserve"> </w:t>
      </w:r>
      <w:r>
        <w:t xml:space="preserve">The</w:t>
      </w:r>
      <w:r>
        <w:t xml:space="preserve"> </w:t>
      </w:r>
      <w:r>
        <w:t xml:space="preserve">Active</w:t>
      </w:r>
      <w:r>
        <w:t xml:space="preserve"> </w:t>
      </w:r>
      <w:r>
        <w:t xml:space="preserve">Travel</w:t>
      </w:r>
      <w:r>
        <w:t xml:space="preserve"> </w:t>
      </w:r>
      <w:r>
        <w:t xml:space="preserve">Backlash</w:t>
      </w:r>
      <w:r>
        <w:t xml:space="preserve"> </w:t>
      </w:r>
      <w:r>
        <w:t xml:space="preserve">Paradox</w:t>
      </w:r>
      <w:r>
        <w:t xml:space="preserve">.”</w:t>
      </w:r>
      <w:r>
        <w:t xml:space="preserve"> </w:t>
      </w:r>
      <w:hyperlink r:id="rId54">
        <w:r>
          <w:rPr>
            <w:rStyle w:val="Hyperlink"/>
          </w:rPr>
          <w:t xml:space="preserve">https://webs.uab.cat/atrapa/</w:t>
        </w:r>
      </w:hyperlink>
      <w:r>
        <w:t xml:space="preserve">.</w:t>
      </w:r>
    </w:p>
    <w:bookmarkEnd w:id="55"/>
    <w:bookmarkStart w:id="57" w:name="ref-goodchild_citizens_2007"/>
    <w:p>
      <w:pPr>
        <w:pStyle w:val="Bibliography"/>
      </w:pPr>
      <w:r>
        <w:t xml:space="preserve">Goodchild, Michael F. 2007.</w:t>
      </w:r>
      <w:r>
        <w:t xml:space="preserve"> </w:t>
      </w:r>
      <w:r>
        <w:t xml:space="preserve">“Citizens as Sensors: The World of Volunteered Geography.”</w:t>
      </w:r>
      <w:r>
        <w:t xml:space="preserve"> </w:t>
      </w:r>
      <w:r>
        <w:rPr>
          <w:i/>
          <w:iCs/>
        </w:rPr>
        <w:t xml:space="preserve">GeoJournal</w:t>
      </w:r>
      <w:r>
        <w:t xml:space="preserve"> </w:t>
      </w:r>
      <w:r>
        <w:t xml:space="preserve">69 (4): 211–21.</w:t>
      </w:r>
      <w:r>
        <w:t xml:space="preserve"> </w:t>
      </w:r>
      <w:hyperlink r:id="rId56">
        <w:r>
          <w:rPr>
            <w:rStyle w:val="Hyperlink"/>
          </w:rPr>
          <w:t xml:space="preserve">https://doi.org/10.1007/s10708-007-9111-y</w:t>
        </w:r>
      </w:hyperlink>
      <w:r>
        <w:t xml:space="preserve">.</w:t>
      </w:r>
    </w:p>
    <w:bookmarkEnd w:id="57"/>
    <w:bookmarkStart w:id="59" w:name="ref-szell_growing_2022"/>
    <w:p>
      <w:pPr>
        <w:pStyle w:val="Bibliography"/>
      </w:pPr>
      <w:r>
        <w:t xml:space="preserve">Szell, Michael, Sayat Mimar, Tyler Perlman, Gourab Ghoshal, and Roberta Sinatra. 2022.</w:t>
      </w:r>
      <w:r>
        <w:t xml:space="preserve"> </w:t>
      </w:r>
      <w:r>
        <w:t xml:space="preserve">“Growing Urban Bicycle Networks.”</w:t>
      </w:r>
      <w:r>
        <w:t xml:space="preserve"> </w:t>
      </w:r>
      <w:r>
        <w:rPr>
          <w:i/>
          <w:iCs/>
        </w:rPr>
        <w:t xml:space="preserve">Scientific Reports</w:t>
      </w:r>
      <w:r>
        <w:t xml:space="preserve"> </w:t>
      </w:r>
      <w:r>
        <w:t xml:space="preserve">12 (1): 6765.</w:t>
      </w:r>
      <w:r>
        <w:t xml:space="preserve"> </w:t>
      </w:r>
      <w:hyperlink r:id="rId58">
        <w:r>
          <w:rPr>
            <w:rStyle w:val="Hyperlink"/>
          </w:rPr>
          <w:t xml:space="preserve">https://doi.org/10.1038/s41598-022-10783-y</w:t>
        </w:r>
      </w:hyperlink>
      <w:r>
        <w:t xml:space="preserve">.</w:t>
      </w:r>
    </w:p>
    <w:bookmarkEnd w:id="59"/>
    <w:bookmarkStart w:id="61" w:name="ref-viero_how_2025"/>
    <w:p>
      <w:pPr>
        <w:pStyle w:val="Bibliography"/>
      </w:pPr>
      <w:r>
        <w:t xml:space="preserve">Vierø, Ane Rahbek, Anastassia Vybornova, and Michael Szell. 2025.</w:t>
      </w:r>
      <w:r>
        <w:t xml:space="preserve"> </w:t>
      </w:r>
      <w:r>
        <w:t xml:space="preserve">“How</w:t>
      </w:r>
      <w:r>
        <w:t xml:space="preserve"> </w:t>
      </w:r>
      <w:r>
        <w:t xml:space="preserve">Good</w:t>
      </w:r>
      <w:r>
        <w:t xml:space="preserve"> </w:t>
      </w:r>
      <w:r>
        <w:t xml:space="preserve">Is</w:t>
      </w:r>
      <w:r>
        <w:t xml:space="preserve"> </w:t>
      </w:r>
      <w:r>
        <w:t xml:space="preserve">Open</w:t>
      </w:r>
      <w:r>
        <w:t xml:space="preserve"> </w:t>
      </w:r>
      <w:r>
        <w:t xml:space="preserve">Bicycle</w:t>
      </w:r>
      <w:r>
        <w:t xml:space="preserve"> </w:t>
      </w:r>
      <w:r>
        <w:t xml:space="preserve">Network</w:t>
      </w:r>
      <w:r>
        <w:t xml:space="preserve"> </w:t>
      </w:r>
      <w:r>
        <w:t xml:space="preserve">Data</w:t>
      </w:r>
      <w:r>
        <w:t xml:space="preserve">?</w:t>
      </w:r>
      <w:r>
        <w:t xml:space="preserve"> </w:t>
      </w:r>
      <w:r>
        <w:t xml:space="preserve">A</w:t>
      </w:r>
      <w:r>
        <w:t xml:space="preserve"> </w:t>
      </w:r>
      <w:r>
        <w:t xml:space="preserve">Countrywide</w:t>
      </w:r>
      <w:r>
        <w:t xml:space="preserve"> </w:t>
      </w:r>
      <w:r>
        <w:t xml:space="preserve">Case</w:t>
      </w:r>
      <w:r>
        <w:t xml:space="preserve"> </w:t>
      </w:r>
      <w:r>
        <w:t xml:space="preserve">Study</w:t>
      </w:r>
      <w:r>
        <w:t xml:space="preserve"> </w:t>
      </w:r>
      <w:r>
        <w:t xml:space="preserve">of</w:t>
      </w:r>
      <w:r>
        <w:t xml:space="preserve"> </w:t>
      </w:r>
      <w:r>
        <w:t xml:space="preserve">Denmark</w:t>
      </w:r>
      <w:r>
        <w:t xml:space="preserve">.”</w:t>
      </w:r>
      <w:r>
        <w:t xml:space="preserve"> </w:t>
      </w:r>
      <w:r>
        <w:rPr>
          <w:i/>
          <w:iCs/>
        </w:rPr>
        <w:t xml:space="preserve">Geographical Analysis</w:t>
      </w:r>
      <w:r>
        <w:t xml:space="preserve"> </w:t>
      </w:r>
      <w:r>
        <w:t xml:space="preserve">57 (1): 52–87.</w:t>
      </w:r>
      <w:r>
        <w:t xml:space="preserve"> </w:t>
      </w:r>
      <w:hyperlink r:id="rId60">
        <w:r>
          <w:rPr>
            <w:rStyle w:val="Hyperlink"/>
          </w:rPr>
          <w:t xml:space="preserve">https://doi.org/10.1111/gean.12400</w:t>
        </w:r>
      </w:hyperlink>
      <w:r>
        <w:t xml:space="preserve">.</w:t>
      </w:r>
    </w:p>
    <w:bookmarkEnd w:id="61"/>
    <w:bookmarkEnd w:id="62"/>
    <w:bookmarkEnd w:id="63"/>
    <w:bookmarkEnd w:id="64"/>
    <w:sectPr>
      <w:footerReference r:id="rId9" w:type="even"/>
      <w:footerReference r:id="rId10" w:type="default"/>
      <w:footerReference r:id="rId11" w:type="first"/>
      <w:footnotePr>
        <w:numFmt w:val="decimal"/>
      </w:footnotePr>
      <w:type w:val="nextPage"/>
      <w:pgSz w:h="15840" w:w="12240"/>
      <w:pgMar w:bottom="2203" w:footer="144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rPr/>
    </w:pPr>
    <w:r>
      <w:rPr/>
      <w:fldChar w:fldCharType="begin"/>
    </w:r>
    <w:r>
      <w:rPr/>
      <w:instrText xml:space="preserve"> PAGE </w:instrText>
    </w:r>
    <w:r>
      <w:rPr/>
      <w:fldChar w:fldCharType="separate"/>
    </w:r>
    <w:r>
      <w:rPr/>
      <w:t>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200"/>
      <w:rPr/>
    </w:pPr>
    <w:r>
      <w:rPr/>
      <w:fldChar w:fldCharType="begin"/>
    </w:r>
    <w:r>
      <w:rPr/>
      <w:instrText xml:space="preserve"> PAGE </w:instrText>
    </w:r>
    <w:r>
      <w:rPr/>
      <w:fldChar w:fldCharType="separate"/>
    </w:r>
    <w:r>
      <w:rPr/>
      <w:t>1</w:t>
    </w:r>
    <w:r>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autoHyphenation w:val="true"/>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
  <w:rsids>
  </w:rsids>
  <w:themeFontLang w:bidi="" w:eastAsia=""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asciiTheme="minorHAnsi" w:cs="" w:cstheme="minorBidi" w:eastAsia="Aptos" w:eastAsiaTheme="minorHAnsi" w:hAnsi="Aptos" w:hAnsiTheme="minorHAnsi"/>
        <w:sz w:val="24"/>
        <w:szCs w:val="24"/>
        <w:lang w:bidi="ar-SA" w:eastAsia="en-US" w:val="en-US"/>
      </w:rPr>
    </w:rPrDefault>
    <w:pPrDefault>
      <w:pPr>
        <w:suppressAutoHyphens w:val="true"/>
      </w:pPr>
    </w:pPrDefault>
  </w:docDefaults>
  <w:latentStyles w:count="276" w:defLockedState="0" w:defQFormat="0" w:defSemiHidden="0" w:defUIPriority="0" w:defUnhideWhenUsed="0"/>
  <w:style w:default="1" w:styleId="Normal" w:type="paragraph">
    <w:name w:val="Normal"/>
    <w:qFormat/>
    <w:pPr>
      <w:widowControl/>
      <w:suppressAutoHyphens w:val="true"/>
      <w:bidi w:val="0"/>
      <w:spacing w:after="200" w:before="0"/>
      <w:jc w:val="left"/>
    </w:pPr>
    <w:rPr>
      <w:rFonts w:ascii="Aptos" w:asciiTheme="minorHAnsi" w:cs="" w:cstheme="minorBidi" w:eastAsia="Aptos" w:eastAsiaTheme="minorHAnsi" w:hAnsi="Aptos" w:hAnsiTheme="minorHAnsi"/>
      <w:color w:val="auto"/>
      <w:kern w:val="0"/>
      <w:sz w:val="24"/>
      <w:szCs w:val="24"/>
      <w:lang w:bidi="ar-SA" w:eastAsia="en-US" w:val="en-US"/>
    </w:rPr>
  </w:style>
  <w:style w:styleId="Heading1" w:type="paragraph">
    <w:name w:val="Heading 1"/>
    <w:basedOn w:val="Normal"/>
    <w:next w:val="BodyText"/>
    <w:link w:val="Heading1Char"/>
    <w:uiPriority w:val="9"/>
    <w:qFormat/>
    <w:rsid w:val="00a10fd9"/>
    <w:pPr>
      <w:keepNext w:val="true"/>
      <w:keepLines/>
      <w:spacing w:after="80" w:before="360"/>
      <w:outlineLvl w:val="0"/>
    </w:pPr>
    <w:rPr>
      <w:rFonts w:ascii="Aptos Display" w:asciiTheme="majorHAnsi" w:cs="" w:cstheme="majorBidi" w:eastAsia="" w:eastAsiaTheme="majorEastAsia" w:hAnsi="Aptos Display" w:hAnsiTheme="majorHAnsi"/>
      <w:color w:themeColor="accent1" w:themeShade="bf" w:val="0F4761"/>
      <w:sz w:val="36"/>
      <w:szCs w:val="40"/>
    </w:rPr>
  </w:style>
  <w:style w:styleId="Heading2" w:type="paragraph">
    <w:name w:val="Heading 2"/>
    <w:basedOn w:val="Normal"/>
    <w:next w:val="BodyText"/>
    <w:link w:val="Heading2Char"/>
    <w:uiPriority w:val="9"/>
    <w:semiHidden/>
    <w:unhideWhenUsed/>
    <w:qFormat/>
    <w:rsid w:val="00a10fd9"/>
    <w:pPr>
      <w:keepNext w:val="true"/>
      <w:keepLines/>
      <w:spacing w:after="80" w:before="160"/>
      <w:outlineLvl w:val="1"/>
    </w:pPr>
    <w:rPr>
      <w:rFonts w:ascii="Aptos Display" w:asciiTheme="majorHAnsi" w:cs="" w:cstheme="majorBidi" w:eastAsia="" w:eastAsiaTheme="majorEastAsia" w:hAnsi="Aptos Display" w:hAnsiTheme="majorHAnsi"/>
      <w:color w:themeColor="accent1" w:themeShade="bf" w:val="0F4761"/>
      <w:sz w:val="30"/>
      <w:szCs w:val="32"/>
    </w:rPr>
  </w:style>
  <w:style w:styleId="Heading3" w:type="paragraph">
    <w:name w:val="Heading 3"/>
    <w:basedOn w:val="Normal"/>
    <w:next w:val="BodyText"/>
    <w:link w:val="Heading3Char"/>
    <w:uiPriority w:val="9"/>
    <w:semiHidden/>
    <w:unhideWhenUsed/>
    <w:qFormat/>
    <w:rsid w:val="00a10fd9"/>
    <w:pPr>
      <w:keepNext w:val="true"/>
      <w:keepLines/>
      <w:spacing w:after="80" w:before="160"/>
      <w:outlineLvl w:val="2"/>
    </w:pPr>
    <w:rPr>
      <w:rFonts w:cs="" w:cstheme="majorBidi" w:eastAsia=""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val="true"/>
      <w:keepLines/>
      <w:spacing w:after="40" w:before="80"/>
      <w:outlineLvl w:val="3"/>
    </w:pPr>
    <w:rPr>
      <w:rFonts w:cs="" w:cstheme="majorBidi" w:eastAsia=""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val="true"/>
      <w:keepLines/>
      <w:spacing w:after="40" w:before="80"/>
      <w:outlineLvl w:val="4"/>
    </w:pPr>
    <w:rPr>
      <w:rFonts w:cs="" w:cstheme="majorBidi" w:eastAsia=""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val="true"/>
      <w:keepLines/>
      <w:spacing w:after="0" w:before="40"/>
      <w:outlineLvl w:val="5"/>
    </w:pPr>
    <w:rPr>
      <w:rFonts w:cs="" w:cstheme="majorBidi" w:eastAsia=""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val="true"/>
      <w:keepLines/>
      <w:spacing w:after="0" w:before="40"/>
      <w:outlineLvl w:val="6"/>
    </w:pPr>
    <w:rPr>
      <w:rFonts w:cs="" w:cstheme="majorBidi" w:eastAsia=""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val="true"/>
      <w:keepLines/>
      <w:spacing w:after="0" w:before="0"/>
      <w:outlineLvl w:val="7"/>
    </w:pPr>
    <w:rPr>
      <w:rFonts w:cs="" w:cstheme="majorBidi" w:eastAsia=""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val="true"/>
      <w:keepLines/>
      <w:spacing w:after="0" w:before="0"/>
      <w:outlineLvl w:val="8"/>
    </w:pPr>
    <w:rPr>
      <w:rFonts w:cs="" w:cstheme="majorBidi" w:eastAsia="" w:eastAsiaTheme="majorEastAsia"/>
      <w:color w:themeColor="text1" w:themeTint="d8" w:val="272727"/>
    </w:rPr>
  </w:style>
  <w:style w:customStyle="1" w:styleId="TitleChar" w:type="character">
    <w:name w:val="Title Char"/>
    <w:basedOn w:val="DefaultParagraphFont"/>
    <w:link w:val="Title"/>
    <w:uiPriority w:val="10"/>
    <w:qFormat/>
    <w:rsid w:val="00a10fd9"/>
    <w:rPr>
      <w:rFonts w:ascii="Aptos Display" w:asciiTheme="majorHAnsi" w:cs="" w:cstheme="majorBidi" w:eastAsia="" w:eastAsiaTheme="majorEastAsia" w:hAnsi="Aptos Display" w:hAnsiTheme="majorHAnsi"/>
      <w:spacing w:val="-10"/>
      <w:kern w:val="2"/>
      <w:sz w:val="56"/>
      <w:szCs w:val="56"/>
    </w:rPr>
  </w:style>
  <w:style w:customStyle="1" w:styleId="SubtitleChar" w:type="character">
    <w:name w:val="Subtitle Char"/>
    <w:basedOn w:val="DefaultParagraphFont"/>
    <w:link w:val="Subtitle"/>
    <w:uiPriority w:val="11"/>
    <w:qFormat/>
    <w:rsid w:val="00a10fd9"/>
    <w:rPr>
      <w:rFonts w:cs="" w:cstheme="majorBidi" w:eastAsia="" w:eastAsiaTheme="majorEastAsia"/>
      <w:color w:themeColor="text1" w:themeTint="a6" w:val="595959"/>
      <w:spacing w:val="15"/>
      <w:sz w:val="28"/>
      <w:szCs w:val="28"/>
    </w:rPr>
  </w:style>
  <w:style w:customStyle="1" w:styleId="Heading1Char" w:type="character">
    <w:name w:val="Heading 1 Char"/>
    <w:basedOn w:val="DefaultParagraphFont"/>
    <w:link w:val="Heading1"/>
    <w:uiPriority w:val="9"/>
    <w:qFormat/>
    <w:rsid w:val="00a10fd9"/>
    <w:rPr>
      <w:rFonts w:ascii="Aptos Display" w:asciiTheme="majorHAnsi" w:cs="" w:cstheme="majorBidi" w:eastAsia="" w:eastAsiaTheme="majorEastAsia" w:hAnsi="Aptos Display" w:hAnsiTheme="majorHAnsi"/>
      <w:color w:themeColor="accent1" w:themeShade="bf" w:val="0F4761"/>
      <w:sz w:val="40"/>
      <w:szCs w:val="40"/>
    </w:rPr>
  </w:style>
  <w:style w:customStyle="1" w:styleId="Heading2Char" w:type="character">
    <w:name w:val="Heading 2 Char"/>
    <w:basedOn w:val="DefaultParagraphFont"/>
    <w:link w:val="Heading2"/>
    <w:uiPriority w:val="9"/>
    <w:semiHidden/>
    <w:qFormat/>
    <w:rsid w:val="00a10fd9"/>
    <w:rPr>
      <w:rFonts w:ascii="Aptos Display" w:asciiTheme="majorHAnsi" w:cs="" w:cstheme="majorBidi" w:eastAsia="" w:eastAsiaTheme="majorEastAsia" w:hAnsi="Aptos Display" w:hAnsiTheme="majorHAnsi"/>
      <w:color w:themeColor="accent1" w:themeShade="bf" w:val="0F4761"/>
      <w:sz w:val="32"/>
      <w:szCs w:val="32"/>
    </w:rPr>
  </w:style>
  <w:style w:customStyle="1" w:styleId="Heading3Char" w:type="character">
    <w:name w:val="Heading 3 Char"/>
    <w:basedOn w:val="DefaultParagraphFont"/>
    <w:link w:val="Heading3"/>
    <w:uiPriority w:val="9"/>
    <w:semiHidden/>
    <w:qFormat/>
    <w:rsid w:val="00a10fd9"/>
    <w:rPr>
      <w:rFonts w:cs="" w:cstheme="majorBidi" w:eastAsia=""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qFormat/>
    <w:rsid w:val="00a10fd9"/>
    <w:rPr>
      <w:rFonts w:cs="" w:cstheme="majorBidi" w:eastAsia=""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 w:cstheme="majorBidi" w:eastAsia=""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 w:cstheme="majorBidi" w:eastAsia=""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 w:cstheme="majorBidi" w:eastAsia=""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 w:cstheme="majorBidi" w:eastAsia=""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 w:cstheme="majorBidi" w:eastAsia="" w:eastAsiaTheme="majorEastAsia"/>
      <w:color w:themeColor="text1" w:themeTint="d8" w:val="272727"/>
    </w:rPr>
  </w:style>
  <w:style w:default="1" w:styleId="DefaultParagraphFont" w:type="character">
    <w:name w:val="Default Paragraph Font"/>
    <w:semiHidden/>
    <w:unhideWhenUsed/>
    <w:qFormat/>
    <w:rPr/>
  </w:style>
  <w:style w:customStyle="1" w:styleId="BodyTextChar" w:type="character">
    <w:name w:val="Body Text Char"/>
    <w:basedOn w:val="DefaultParagraphFont"/>
    <w:qFormat/>
    <w:rPr/>
  </w:style>
  <w:style w:customStyle="1" w:styleId="VerbatimChar" w:type="character">
    <w:name w:val="Verbatim Char"/>
    <w:basedOn w:val="BodyTextChar"/>
    <w:qFormat/>
    <w:rPr>
      <w:rFonts w:ascii="Consolas" w:hAnsi="Consolas"/>
      <w:sz w:val="22"/>
    </w:rPr>
  </w:style>
  <w:style w:customStyle="1" w:styleId="SectionNumber" w:type="character">
    <w:name w:val="Section Number"/>
    <w:basedOn w:val="BodyTextChar"/>
    <w:qFormat/>
    <w:rPr/>
  </w:style>
  <w:style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BodyTextChar"/>
    <w:rPr>
      <w:color w:themeColor="accent1" w:val="4F81BD"/>
    </w:rPr>
  </w:style>
  <w:style w:styleId="EndnoteCharacters" w:type="character">
    <w:name w:val="Endnote Characters"/>
    <w:qFormat/>
    <w:rPr>
      <w:vertAlign w:val="superscript"/>
    </w:rPr>
  </w:style>
  <w:style w:styleId="EndnoteReference" w:type="character">
    <w:name w:val="Endnote Reference"/>
    <w:rPr>
      <w:vertAlign w:val="superscript"/>
    </w:rPr>
  </w:style>
  <w:style w:styleId="Heading" w:type="paragraph">
    <w:name w:val="Heading"/>
    <w:basedOn w:val="Normal"/>
    <w:next w:val="BodyText"/>
    <w:qFormat/>
    <w:pPr>
      <w:keepNext w:val="true"/>
      <w:spacing w:after="120" w:before="240"/>
    </w:pPr>
    <w:rPr>
      <w:rFonts w:ascii="Liberation Sans" w:cs="Lohit Devanagari" w:eastAsia="Noto Sans CJK SC" w:hAnsi="Liberation Sans"/>
      <w:sz w:val="28"/>
      <w:szCs w:val="28"/>
    </w:rPr>
  </w:style>
  <w:style w:styleId="BodyText" w:type="paragraph">
    <w:name w:val="Body Text"/>
    <w:basedOn w:val="Normal"/>
    <w:link w:val="BodyTextChar"/>
    <w:qFormat/>
    <w:pPr>
      <w:spacing w:after="180" w:before="180"/>
    </w:pPr>
    <w:rPr/>
  </w:style>
  <w:style w:styleId="List" w:type="paragraph">
    <w:name w:val="List"/>
    <w:basedOn w:val="BodyText"/>
    <w:pPr/>
    <w:rPr>
      <w:rFonts w:cs="Lohit Devanagari"/>
    </w:rPr>
  </w:style>
  <w:style w:styleId="Caption" w:type="paragraph">
    <w:name w:val="Caption"/>
    <w:basedOn w:val="Normal"/>
    <w:link w:val="BodyTextChar"/>
    <w:qFormat/>
    <w:pPr>
      <w:spacing w:after="120" w:before="0"/>
    </w:pPr>
    <w:rPr>
      <w:i/>
    </w:rPr>
  </w:style>
  <w:style w:styleId="Index" w:type="paragraph">
    <w:name w:val="Index"/>
    <w:basedOn w:val="Normal"/>
    <w:qFormat/>
    <w:pPr>
      <w:suppressLineNumbers/>
    </w:pPr>
    <w:rPr>
      <w:rFonts w:cs="Lohit Devanagari"/>
    </w:rPr>
  </w:style>
  <w:style w:customStyle="1" w:styleId="FirstParagraph" w:type="paragraph">
    <w:name w:val="First Paragraph"/>
    <w:basedOn w:val="BodyText"/>
    <w:next w:val="BodyText"/>
    <w:qFormat/>
    <w:pPr/>
    <w:rPr/>
  </w:style>
  <w:style w:customStyle="1" w:styleId="Compact" w:type="paragraph">
    <w:name w:val="Compact"/>
    <w:basedOn w:val="BodyText"/>
    <w:qFormat/>
    <w:pPr>
      <w:spacing w:after="36" w:before="36"/>
    </w:pPr>
    <w:rPr/>
  </w:style>
  <w:style w:styleId="Title" w:type="paragraph">
    <w:name w:val="Title"/>
    <w:basedOn w:val="Normal"/>
    <w:next w:val="BodyText"/>
    <w:link w:val="TitleChar"/>
    <w:uiPriority w:val="10"/>
    <w:qFormat/>
    <w:rsid w:val="00a10fd9"/>
    <w:pPr>
      <w:spacing w:after="80" w:before="0" w:line="240" w:lineRule="auto"/>
      <w:contextualSpacing/>
      <w:jc w:val="center"/>
    </w:pPr>
    <w:rPr>
      <w:rFonts w:ascii="Aptos Display" w:asciiTheme="majorHAnsi" w:cs="" w:cstheme="majorBidi" w:eastAsia="" w:eastAsiaTheme="majorEastAsia" w:hAnsi="Aptos Display" w:hAnsiTheme="majorHAnsi"/>
      <w:color w:val="000000"/>
      <w:spacing w:val="-10"/>
      <w:kern w:val="2"/>
      <w:sz w:val="40"/>
      <w:szCs w:val="56"/>
    </w:rPr>
  </w:style>
  <w:style w:styleId="Subtitle" w:type="paragraph">
    <w:name w:val="Subtitle"/>
    <w:basedOn w:val="Normal"/>
    <w:next w:val="BodyText"/>
    <w:link w:val="SubtitleChar"/>
    <w:uiPriority w:val="11"/>
    <w:qFormat/>
    <w:rsid w:val="00a10fd9"/>
    <w:pPr/>
    <w:rPr>
      <w:rFonts w:cs="" w:cstheme="majorBidi" w:eastAsia="" w:eastAsiaTheme="majorEastAsia"/>
      <w:color w:themeColor="text1" w:themeTint="a6" w:val="595959"/>
      <w:spacing w:val="15"/>
      <w:sz w:val="28"/>
      <w:szCs w:val="28"/>
    </w:rPr>
  </w:style>
  <w:style w:customStyle="1" w:styleId="Author" w:type="paragraph">
    <w:name w:val="Author"/>
    <w:next w:val="BodyText"/>
    <w:qFormat/>
    <w:pPr>
      <w:keepNext w:val="true"/>
      <w:keepLines/>
      <w:widowControl/>
      <w:suppressAutoHyphens w:val="true"/>
      <w:bidi w:val="0"/>
      <w:spacing w:after="200" w:before="0"/>
      <w:jc w:val="center"/>
    </w:pPr>
    <w:rPr>
      <w:rFonts w:ascii="Aptos" w:asciiTheme="minorHAnsi" w:cs="" w:cstheme="minorBidi" w:eastAsia="Aptos" w:eastAsiaTheme="minorHAnsi" w:hAnsi="Aptos" w:hAnsiTheme="minorHAnsi"/>
      <w:color w:val="auto"/>
      <w:kern w:val="0"/>
      <w:sz w:val="24"/>
      <w:szCs w:val="24"/>
      <w:lang w:bidi="ar-SA" w:eastAsia="en-US" w:val="en-US"/>
    </w:rPr>
  </w:style>
  <w:style w:styleId="Date" w:type="paragraph">
    <w:name w:val="Date"/>
    <w:next w:val="BodyText"/>
    <w:qFormat/>
    <w:pPr>
      <w:keepNext w:val="true"/>
      <w:keepLines/>
      <w:widowControl/>
      <w:suppressAutoHyphens w:val="true"/>
      <w:bidi w:val="0"/>
      <w:spacing w:after="200" w:before="0"/>
      <w:jc w:val="center"/>
    </w:pPr>
    <w:rPr>
      <w:rFonts w:ascii="Aptos" w:asciiTheme="minorHAnsi" w:cs="" w:cstheme="minorBidi" w:eastAsia="Aptos" w:eastAsiaTheme="minorHAnsi" w:hAnsi="Aptos" w:hAnsiTheme="minorHAnsi"/>
      <w:color w:val="auto"/>
      <w:kern w:val="0"/>
      <w:sz w:val="24"/>
      <w:szCs w:val="24"/>
      <w:lang w:bidi="ar-SA" w:eastAsia="en-US" w:val="en-US"/>
    </w:rPr>
  </w:style>
  <w:style w:customStyle="1" w:styleId="AbstractTitle" w:type="paragraph">
    <w:name w:val="Abstract Title"/>
    <w:basedOn w:val="Normal"/>
    <w:next w:val="Abstract"/>
    <w:qFormat/>
    <w:pPr>
      <w:keepNext w:val="true"/>
      <w:keepLines/>
      <w:spacing w:after="0" w:before="300"/>
      <w:jc w:val="center"/>
    </w:pPr>
    <w:rPr>
      <w:b/>
      <w:color w:val="345A8A"/>
      <w:sz w:val="20"/>
      <w:szCs w:val="20"/>
    </w:rPr>
  </w:style>
  <w:style w:customStyle="1" w:styleId="Abstract" w:type="paragraph">
    <w:name w:val="Abstract"/>
    <w:basedOn w:val="Normal"/>
    <w:next w:val="BodyText"/>
    <w:qFormat/>
    <w:pPr>
      <w:keepNext w:val="true"/>
      <w:keepLines/>
      <w:spacing w:after="300" w:before="100"/>
    </w:pPr>
    <w:rPr>
      <w:sz w:val="24"/>
      <w:szCs w:val="20"/>
    </w:rPr>
  </w:style>
  <w:style w:styleId="Bibliography" w:type="paragraph">
    <w:name w:val="Bibliography"/>
    <w:basedOn w:val="Normal"/>
    <w:qFormat/>
    <w:pPr/>
    <w:rPr/>
  </w:style>
  <w:style w:styleId="BlockText" w:type="paragraph">
    <w:name w:val="Block Text"/>
    <w:basedOn w:val="BodyText"/>
    <w:next w:val="BodyText"/>
    <w:uiPriority w:val="9"/>
    <w:unhideWhenUsed/>
    <w:qFormat/>
    <w:pPr>
      <w:spacing w:after="100" w:before="100"/>
      <w:ind w:hanging="0" w:left="480" w:right="480"/>
    </w:pPr>
    <w:rPr/>
  </w:style>
  <w:style w:styleId="FootnoteText" w:type="paragraph">
    <w:name w:val="Footnote Text"/>
    <w:basedOn w:val="Normal"/>
    <w:uiPriority w:val="9"/>
    <w:unhideWhenUsed/>
    <w:qFormat/>
    <w:pPr/>
    <w:rPr/>
  </w:style>
  <w:style w:styleId="FootnoteBlockText" w:type="paragraph">
    <w:name w:val="Footnote Block Text"/>
    <w:basedOn w:val="FootnoteText"/>
    <w:next w:val="FootnoteText"/>
    <w:uiPriority w:val="9"/>
    <w:unhideWhenUsed/>
    <w:qFormat/>
    <w:pPr>
      <w:spacing w:after="100" w:before="100"/>
      <w:ind w:hanging="0" w:left="480" w:right="480"/>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customStyle="1" w:styleId="TableCaption" w:type="paragraph">
    <w:name w:val="Table Caption"/>
    <w:basedOn w:val="Caption"/>
    <w:qFormat/>
    <w:pPr>
      <w:keepNext w:val="true"/>
    </w:pPr>
    <w:rPr/>
  </w:style>
  <w:style w:customStyle="1" w:styleId="ImageCaption" w:type="paragraph">
    <w:name w:val="Image Caption"/>
    <w:basedOn w:val="Caption"/>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IndexHeading" w:type="paragraph">
    <w:name w:val="Index Heading"/>
    <w:basedOn w:val="Heading"/>
    <w:pPr/>
    <w:rPr/>
  </w:style>
  <w:style w:styleId="TOCHeading" w:type="paragraph">
    <w:name w:val="TOC Heading"/>
    <w:basedOn w:val="Heading1"/>
    <w:next w:val="BodyText"/>
    <w:uiPriority w:val="39"/>
    <w:unhideWhenUsed/>
    <w:qFormat/>
    <w:pPr>
      <w:spacing w:after="80" w:before="240" w:line="259" w:lineRule="auto"/>
      <w:outlineLvl w:val="9"/>
    </w:pPr>
    <w:rPr>
      <w:rFonts w:ascii="Aptos Display" w:asciiTheme="majorHAnsi" w:cs="" w:cstheme="majorBidi" w:eastAsia="" w:eastAsiaTheme="majorEastAsia" w:hAnsi="Aptos Display" w:hAnsiTheme="majorHAnsi"/>
      <w:b w:val="false"/>
      <w:bCs w:val="false"/>
      <w:color w:themeColor="accent1" w:themeShade="bf" w:val="365F91"/>
    </w:rPr>
  </w:style>
  <w:style w:styleId="HeaderandFooter" w:type="paragraph">
    <w:name w:val="Header and Footer"/>
    <w:basedOn w:val="Normal"/>
    <w:qFormat/>
    <w:pPr>
      <w:suppressLineNumbers/>
      <w:tabs>
        <w:tab w:pos="720" w:val="clear"/>
        <w:tab w:leader="none" w:pos="4680" w:val="center"/>
        <w:tab w:leader="none" w:pos="9360" w:val="right"/>
      </w:tabs>
    </w:pPr>
    <w:rPr/>
  </w:style>
  <w:style w:styleId="Footer" w:type="paragraph">
    <w:name w:val="Footer"/>
    <w:basedOn w:val="HeaderandFooter"/>
    <w:pPr>
      <w:suppressLineNumbers/>
    </w:pPr>
    <w:rPr/>
  </w:style>
  <w:style w:styleId="Authordetails" w:type="paragraph">
    <w:name w:val="Author details"/>
    <w:basedOn w:val="BodyText"/>
    <w:qFormat/>
    <w:pPr/>
    <w:rPr/>
  </w:style>
  <w:style w:default="1" w:styleId="Table" w:type="table">
    <w:name w:val="Table"/>
    <w:basedOn w:val="TableNormal"/>
    <w:semiHidden/>
    <w:unhideWhenUsed/>
    <w:qFormat/>
    <w:tblPr>
      <w:tblCellMar>
        <w:top w:type="dxa" w:w="0"/>
        <w:left w:type="dxa" w:w="108"/>
        <w:bottom w:type="dxa" w:w="0"/>
        <w:right w:type="dxa" w:w="108"/>
      </w:tblCellMar>
    </w:tblPr>
    <w:tblStylePr w:type="firstRow">
      <w:tblPr/>
      <w:tcPr>
        <w:tcBorders>
          <w:bottom w:val="single"/>
        </w:tcBorders>
        <w:vAlign w:val="bottom"/>
      </w:tcPr>
    </w:tblStyle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 Id="rId11" Target="footer3.xml" Type="http://schemas.openxmlformats.org/officeDocument/2006/relationships/footer" /><Relationship Type="http://schemas.openxmlformats.org/officeDocument/2006/relationships/image" Id="rId26" Target="media/rId26.png" /><Relationship Type="http://schemas.openxmlformats.org/officeDocument/2006/relationships/image" Id="rId21" Target="media/rId21.png" /><Relationship Type="http://schemas.openxmlformats.org/officeDocument/2006/relationships/image" Id="rId32" Target="media/rId32.png" /><Relationship Type="http://schemas.openxmlformats.org/officeDocument/2006/relationships/hyperlink" Id="rId45" Target="../outputs/barcelona_samples_2015_2023_coder1.xlsx" TargetMode="External" /><Relationship Type="http://schemas.openxmlformats.org/officeDocument/2006/relationships/hyperlink" Id="rId46" Target="../outputs/barcelona_samples_2015_2023_coder2.xlsx" TargetMode="External" /><Relationship Type="http://schemas.openxmlformats.org/officeDocument/2006/relationships/hyperlink" Id="rId48" Target="../outputs/barcelona_samples_2015_2023_joined_results.xlsx" TargetMode="External" /><Relationship Type="http://schemas.openxmlformats.org/officeDocument/2006/relationships/hyperlink" Id="rId43" Target="../outputs/procedure_gsv_coding.pdf" TargetMode="External" /><Relationship Type="http://schemas.openxmlformats.org/officeDocument/2006/relationships/hyperlink" Id="rId56" Target="https://doi.org/10.1007/s10708-007-9111-y" TargetMode="External" /><Relationship Type="http://schemas.openxmlformats.org/officeDocument/2006/relationships/hyperlink" Id="rId58" Target="https://doi.org/10.1038/s41598-022-10783-y" TargetMode="External" /><Relationship Type="http://schemas.openxmlformats.org/officeDocument/2006/relationships/hyperlink" Id="rId52" Target="https://doi.org/10.1080/15568318.2018.1519746" TargetMode="External" /><Relationship Type="http://schemas.openxmlformats.org/officeDocument/2006/relationships/hyperlink" Id="rId60" Target="https://doi.org/10.1111/gean.12400" TargetMode="External" /><Relationship Type="http://schemas.openxmlformats.org/officeDocument/2006/relationships/hyperlink" Id="rId49" Target="https://doi.org/10.1111/tgis.12073" TargetMode="External" /><Relationship Type="http://schemas.openxmlformats.org/officeDocument/2006/relationships/hyperlink" Id="rId54" Target="https://webs.uab.cat/atrapa/" TargetMode="External" /></Relationships>
</file>

<file path=word/_rels/footnotes.xml.rels><?xml version="1.0" encoding="UTF-8"?><Relationships xmlns="http://schemas.openxmlformats.org/package/2006/relationships"><Relationship Type="http://schemas.openxmlformats.org/officeDocument/2006/relationships/hyperlink" Id="rId45" Target="../outputs/barcelona_samples_2015_2023_coder1.xlsx" TargetMode="External" /><Relationship Type="http://schemas.openxmlformats.org/officeDocument/2006/relationships/hyperlink" Id="rId46" Target="../outputs/barcelona_samples_2015_2023_coder2.xlsx" TargetMode="External" /><Relationship Type="http://schemas.openxmlformats.org/officeDocument/2006/relationships/hyperlink" Id="rId48" Target="../outputs/barcelona_samples_2015_2023_joined_results.xlsx" TargetMode="External" /><Relationship Type="http://schemas.openxmlformats.org/officeDocument/2006/relationships/hyperlink" Id="rId43" Target="../outputs/procedure_gsv_coding.pdf" TargetMode="External" /><Relationship Type="http://schemas.openxmlformats.org/officeDocument/2006/relationships/hyperlink" Id="rId56" Target="https://doi.org/10.1007/s10708-007-9111-y" TargetMode="External" /><Relationship Type="http://schemas.openxmlformats.org/officeDocument/2006/relationships/hyperlink" Id="rId58" Target="https://doi.org/10.1038/s41598-022-10783-y" TargetMode="External" /><Relationship Type="http://schemas.openxmlformats.org/officeDocument/2006/relationships/hyperlink" Id="rId52" Target="https://doi.org/10.1080/15568318.2018.1519746" TargetMode="External" /><Relationship Type="http://schemas.openxmlformats.org/officeDocument/2006/relationships/hyperlink" Id="rId60" Target="https://doi.org/10.1111/gean.12400" TargetMode="External" /><Relationship Type="http://schemas.openxmlformats.org/officeDocument/2006/relationships/hyperlink" Id="rId49" Target="https://doi.org/10.1111/tgis.12073" TargetMode="External" /><Relationship Type="http://schemas.openxmlformats.org/officeDocument/2006/relationships/hyperlink" Id="rId54" Target="https://webs.uab.cat/atrapa/" TargetMode="Externa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LibreOffice/24.2.7.2$Linux_X86_64 LibreOffice_project/420$Build-2</Application>
  <AppVersion>15.0000</AppVersion>
  <Pages>1</Pages>
  <Words>55</Words>
  <Characters>283</Characters>
  <CharactersWithSpaces>371</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Validating OpenStreetMap for detecting cycling-infrastructure change: A Barcelona pilot using Google Street View (2015–2023)</dc:title>
  <dc:creator>Eugeni Vidal-Tortosa; Oriol Marquet</dc:creator>
  <cp:keywords/>
  <dcterms:created xsi:type="dcterms:W3CDTF">2025-12-01T11:10:48Z</dcterms:created>
  <dcterms:modified xsi:type="dcterms:W3CDTF">2025-12-01T11:10:48Z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editor">
    <vt:lpwstr>visual</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