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Response to the Reviewers’ Comments</w:t>
      </w:r>
    </w:p>
    <w:p>
      <w:pPr>
        <w:pStyle w:val="FirstParagraph"/>
        <w:rPr/>
      </w:pPr>
      <w:r>
        <w:rPr>
          <w:b/>
          <w:bCs/>
        </w:rPr>
        <w:t>Manuscript:</w:t>
      </w:r>
      <w:r>
        <w:rPr/>
        <w:t xml:space="preserve"> Quantifying the accuracy of OpenStreetMap for longitudinal cycling-infrastructure change: A reproducible validation framework using Google Street View</w:t>
        <w:br/>
      </w:r>
      <w:r>
        <w:rPr>
          <w:b/>
          <w:bCs/>
        </w:rPr>
        <w:t>Manuscript Number:</w:t>
      </w:r>
      <w:r>
        <w:rPr/>
        <w:t xml:space="preserve"> JTRG-D-26-00424</w:t>
      </w:r>
    </w:p>
    <w:p>
      <w:pPr>
        <w:pStyle w:val="Normal"/>
        <w:rPr/>
      </w:pPr>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t>Dear Dr Cao,</w:t>
      </w:r>
    </w:p>
    <w:p>
      <w:pPr>
        <w:pStyle w:val="BodyText"/>
        <w:rPr/>
      </w:pPr>
      <w:r>
        <w:rPr/>
        <w:t>Thank you for your decision and for the reviewers’ constructive and insightful comments on our manuscript. We have carefully revised the manuscript and addressed all comments in detail, and we believe these revisions have improved the clarity, methodological transparency, and overall contribution of the paper.</w:t>
      </w:r>
    </w:p>
    <w:p>
      <w:pPr>
        <w:pStyle w:val="BodyText"/>
        <w:rPr/>
      </w:pPr>
      <w:r>
        <w:rPr/>
        <w:t>A revised version of the manuscript is included, with key modifications indicated in blue. The authors’ responses to reviewers are also highlighted in blue below.</w:t>
      </w:r>
    </w:p>
    <w:p>
      <w:pPr>
        <w:pStyle w:val="Normal"/>
        <w:rPr/>
      </w:pPr>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0" w:name="reviewer-1"/>
      <w:r>
        <w:rPr/>
        <w:t>Reviewer #1</w:t>
      </w:r>
    </w:p>
    <w:p>
      <w:pPr>
        <w:pStyle w:val="FirstParagraph"/>
        <w:rPr/>
      </w:pPr>
      <w:r>
        <w:rPr>
          <w:b/>
          <w:bCs/>
        </w:rPr>
        <w:t>General comments</w:t>
      </w:r>
    </w:p>
    <w:p>
      <w:pPr>
        <w:pStyle w:val="BodyText"/>
        <w:rPr/>
      </w:pPr>
      <w:r>
        <w:rPr/>
        <w:t>The article lacks a clearly defined research objective, and it is more methodological in nature, which, of course, does not detract from its substantive and scientific value.</w:t>
      </w:r>
    </w:p>
    <w:p>
      <w:pPr>
        <w:pStyle w:val="BodyText"/>
        <w:rPr/>
      </w:pPr>
      <w:r>
        <w:rPr>
          <w:b/>
          <w:bCs/>
        </w:rPr>
        <w:t>Response</w:t>
      </w:r>
    </w:p>
    <w:p>
      <w:pPr>
        <w:pStyle w:val="BlueResponse"/>
        <w:rPr/>
      </w:pPr>
      <w:r>
        <w:rPr/>
        <w:t>We agree that the research objective could be stated more clearly.</w:t>
      </w:r>
    </w:p>
    <w:p>
      <w:pPr>
        <w:pStyle w:val="BlueResponse"/>
        <w:rPr/>
      </w:pPr>
      <w:r>
        <w:rPr/>
        <w:t>In the revised manuscript, we have clarified the objective in the Introduction (lines 69–70) by explicitly formulating the aim of the study at the beginning of the contribution paragraph (“Building on this gap, this study aims to quantify the accuracy of OSM for detecting cycling-infrastructure change”).</w:t>
      </w:r>
    </w:p>
    <w:p>
      <w:pPr>
        <w:pStyle w:val="BodyText"/>
        <w:rPr/>
      </w:pPr>
      <w:r>
        <w:rPr>
          <w:b/>
          <w:bCs/>
        </w:rPr>
        <w:t>Comment 1.1</w:t>
      </w:r>
    </w:p>
    <w:p>
      <w:pPr>
        <w:pStyle w:val="BodyText"/>
        <w:rPr/>
      </w:pPr>
      <w:r>
        <w:rPr/>
        <w:t>The article analyses and validates data on the cycle route network from OSM and Google Street View. This is a new and rather innovative approach, which requires further clarification regarding: Did the authors attempt to compare information on the length of the cycle route network extracted from OSM with other data, e.g. from the city?</w:t>
      </w:r>
    </w:p>
    <w:p>
      <w:pPr>
        <w:pStyle w:val="BodyText"/>
        <w:rPr/>
      </w:pPr>
      <w:r>
        <w:rPr>
          <w:b/>
          <w:bCs/>
        </w:rPr>
        <w:t>Response</w:t>
      </w:r>
    </w:p>
    <w:p>
      <w:pPr>
        <w:pStyle w:val="BlueResponse"/>
        <w:rPr/>
      </w:pPr>
      <w:r>
        <w:rPr/>
        <w:t>We thank the reviewer for this helpful suggestion.</w:t>
      </w:r>
    </w:p>
    <w:p>
      <w:pPr>
        <w:pStyle w:val="BlueResponse"/>
        <w:rPr/>
      </w:pPr>
      <w:r>
        <w:rPr/>
        <w:t>We have incorporated a comparison between OSM-derived network length and official municipal data for Barcelona. OSM estimates indicate an increase from 130.7 km to 235.7 km between 2015 and 2023, while the official data show a remarkably similar increase from 133.0 km to 234.0 km over the same period. This close correspondence provides an external aggregate consistency check supporting the overall plausibility of the OSM-derived estimates.</w:t>
      </w:r>
    </w:p>
    <w:p>
      <w:pPr>
        <w:pStyle w:val="BlueResponse"/>
        <w:rPr/>
      </w:pPr>
      <w:r>
        <w:rPr/>
        <w:t>The comparison has been incorporated in the Results section (lines 214–219). We also clarify that Barcelona represents one of the relatively few cases where comparable longitudinal official cycling-infrastructure records are available, while the proposed workflow is intended for broader application in contexts where such data are unavailable or inconsistent across years.</w:t>
      </w:r>
    </w:p>
    <w:p>
      <w:pPr>
        <w:pStyle w:val="BodyText"/>
        <w:rPr/>
      </w:pPr>
      <w:r>
        <w:rPr>
          <w:b/>
          <w:bCs/>
        </w:rPr>
        <w:t>Comment 1.2</w:t>
      </w:r>
    </w:p>
    <w:p>
      <w:pPr>
        <w:pStyle w:val="BodyText"/>
        <w:rPr/>
      </w:pPr>
      <w:r>
        <w:rPr/>
        <w:t>Did the authors attempt to examine entire road sections using machine learning algorithms with the aid of GSV, or did they consider doing so?</w:t>
      </w:r>
    </w:p>
    <w:p>
      <w:pPr>
        <w:pStyle w:val="BodyText"/>
        <w:rPr/>
      </w:pPr>
      <w:r>
        <w:rPr>
          <w:b/>
          <w:bCs/>
        </w:rPr>
        <w:t>Response</w:t>
      </w:r>
    </w:p>
    <w:p>
      <w:pPr>
        <w:pStyle w:val="BlueResponse"/>
        <w:rPr/>
      </w:pPr>
      <w:r>
        <w:rPr/>
        <w:t>We agree and considered automated approaches based on machine learning and street-level imagery, as they offer opportunities to scale validation of built-environment features. However, their application in this context is currently constrained by both data availability and methodological challenges.</w:t>
      </w:r>
    </w:p>
    <w:p>
      <w:pPr>
        <w:pStyle w:val="BlueResponse"/>
        <w:rPr/>
      </w:pPr>
      <w:r>
        <w:rPr/>
        <w:t>In particular, while GSV allows access to imagery at specific locations, it does not provide systematic access to historical imagery across time through the API, which is essential for longitudinal validation. As a result, large-scale automated temporal comparison using historical street-level imagery is currently difficult to implement in a reproducible way.</w:t>
      </w:r>
    </w:p>
    <w:p>
      <w:pPr>
        <w:pStyle w:val="BlueResponse"/>
        <w:rPr/>
      </w:pPr>
      <w:r>
        <w:rPr/>
        <w:t>In addition, image-based approaches may struggle to consistently detect less visually distinct forms of cycling infrastructure, particularly painted on-street lanes and other minimally separated facilities.</w:t>
      </w:r>
    </w:p>
    <w:p>
      <w:pPr>
        <w:pStyle w:val="BlueResponse"/>
        <w:rPr/>
      </w:pPr>
      <w:r>
        <w:rPr/>
        <w:t>For these reasons, we adopted a manual validation approach based on a stratified sample of locations. This allowed direct inspection of historical imagery and transparent assessment of whether OSM-detected changes corresponded to observable on-street conditions. We now discuss these scalability and data-access limitations explicitly in the Generalisability and limitations section of the revised manuscript (Section 5, lines 347–350).</w:t>
      </w:r>
    </w:p>
    <w:p>
      <w:pPr>
        <w:pStyle w:val="BodyText"/>
        <w:rPr/>
      </w:pPr>
      <w:r>
        <w:rPr>
          <w:b/>
          <w:bCs/>
        </w:rPr>
        <w:t>Comment 1.3</w:t>
      </w:r>
    </w:p>
    <w:p>
      <w:pPr>
        <w:pStyle w:val="BodyText"/>
        <w:rPr/>
      </w:pPr>
      <w:r>
        <w:rPr/>
        <w:t>Did the authors use tools to extract data from OSM, and how did they select the road networks for each year from 2015 to 2023? Taking into account the network year by year and the changes could eliminate certain errors or even make them easier to spot.</w:t>
      </w:r>
    </w:p>
    <w:p>
      <w:pPr>
        <w:pStyle w:val="BodyText"/>
        <w:rPr/>
      </w:pPr>
      <w:r>
        <w:rPr>
          <w:b/>
          <w:bCs/>
        </w:rPr>
        <w:t>Response</w:t>
      </w:r>
    </w:p>
    <w:p>
      <w:pPr>
        <w:pStyle w:val="BlueResponse"/>
        <w:rPr/>
      </w:pPr>
      <w:r>
        <w:rPr/>
        <w:t>OSM data were extracted using dated Geofabrik snapshots via the osmextract R package, as described in Section 2.2. We constructed baseline and follow-up cycling-infrastructure networks corresponding to 2015 and 2023 conditions, and applied snapshot differencing to detect changes between these two reference periods.</w:t>
      </w:r>
    </w:p>
    <w:p>
      <w:pPr>
        <w:pStyle w:val="BlueResponse"/>
        <w:rPr/>
      </w:pPr>
      <w:r>
        <w:rPr/>
        <w:t>These reference years were selected to capture a policy-relevant period of infrastructure change and, as mentioned in the manuscript (Introduction, lines 72–74), to align with a broader research project examining infrastructure change across governance periods.</w:t>
      </w:r>
    </w:p>
    <w:p>
      <w:pPr>
        <w:pStyle w:val="BlueResponse"/>
        <w:rPr/>
      </w:pPr>
      <w:r>
        <w:rPr/>
        <w:t>We agree that analysing the network year by year could provide additional insights into the evolution of cycling infrastructure and may help identify certain mapping artefacts. However, the objective of this study was to evaluate the temporal accuracy of change detection between two reference states rather than to reconstruct continuous network evolution.</w:t>
      </w:r>
    </w:p>
    <w:p>
      <w:pPr>
        <w:pStyle w:val="BlueResponse"/>
        <w:rPr/>
      </w:pPr>
      <w:r>
        <w:rPr/>
        <w:t>In addition, the validation framework relies on comparing OSM-detected changes with historical GSV imagery at corresponding time points. Because currently available GSV APIs do not provide systematic programmatic access to historical imagery across multiple intermediate years, extending the analysis to yearly snapshots would be difficult to implement in a systematic and reproducible way.</w:t>
      </w:r>
    </w:p>
    <w:p>
      <w:pPr>
        <w:pStyle w:val="BlueResponse"/>
        <w:rPr/>
      </w:pPr>
      <w:r>
        <w:rPr/>
        <w:t>We nevertheless agree that extending this approach to multi-year temporal reconstruction represents an interesting direction for future work.</w:t>
      </w:r>
    </w:p>
    <w:p>
      <w:pPr>
        <w:pStyle w:val="BodyText"/>
        <w:rPr/>
      </w:pPr>
      <w:r>
        <w:rPr>
          <w:b/>
          <w:bCs/>
        </w:rPr>
        <w:t>Comment 1.4</w:t>
      </w:r>
    </w:p>
    <w:p>
      <w:pPr>
        <w:pStyle w:val="BodyText"/>
        <w:rPr/>
      </w:pPr>
      <w:r>
        <w:rPr/>
        <w:t>The network maps show that in 2015, the layout was more skeletal and oriented in a band-like pattern towards the sea, whilst over the following 8 years, major road networks were built across it. But the sections that have been removed stand out. Isn’t it perhaps the case that they were simply misclassified or were on a cycle lane (a lane on the carriageway), making them easy to remove from the data?</w:t>
      </w:r>
    </w:p>
    <w:p>
      <w:pPr>
        <w:pStyle w:val="BodyText"/>
        <w:rPr/>
      </w:pPr>
      <w:r>
        <w:rPr>
          <w:b/>
          <w:bCs/>
        </w:rPr>
        <w:t>Response</w:t>
      </w:r>
    </w:p>
    <w:p>
      <w:pPr>
        <w:pStyle w:val="BlueResponse"/>
        <w:rPr/>
      </w:pPr>
      <w:r>
        <w:rPr/>
        <w:t>We agree that apparent removals detected from OSM may reflect changes in tagging, reclassification of infrastructure types, or other mapping artefacts rather than true removal of infrastructure. In particular, facilities such as on-street cycle lanes or other forms of low-segregation provision may be more inconsistently mapped in OSM and therefore more prone to disappearance in snapshot-based comparisons.</w:t>
      </w:r>
    </w:p>
    <w:p>
      <w:pPr>
        <w:pStyle w:val="BlueResponse"/>
        <w:rPr/>
      </w:pPr>
      <w:r>
        <w:rPr/>
        <w:t>At the same time, our validation identified at least one genuine removal associated with a broader street redesign intervention in Barcelona (Figure 3), illustrating that some inferred removals may correspond to real changes in cycling configurations following major public-space transformations, such as those implemented in corridors like Consell de Cent.</w:t>
      </w:r>
    </w:p>
    <w:p>
      <w:pPr>
        <w:pStyle w:val="BlueResponse"/>
        <w:rPr/>
      </w:pPr>
      <w:r>
        <w:rPr/>
        <w:t>This is precisely why the validation step is necessary. Our GSV-based assessment explicitly evaluates whether OSM-detected removals correspond to observable on-street changes, and the results suggest that a substantial share of removal events may not reflect actual infrastructure removal.</w:t>
      </w:r>
    </w:p>
    <w:p>
      <w:pPr>
        <w:pStyle w:val="BodyText"/>
        <w:rPr/>
      </w:pPr>
      <w:r>
        <w:rPr>
          <w:b/>
          <w:bCs/>
        </w:rPr>
        <w:t>Comment 1.5</w:t>
      </w:r>
    </w:p>
    <w:p>
      <w:pPr>
        <w:pStyle w:val="BodyText"/>
        <w:rPr/>
      </w:pPr>
      <w:r>
        <w:rPr/>
        <w:t>Finally, a very strong conclusion was drawn that the infrastructure in OSM, or the network itself, does a good job of incorporating new sections but struggles with those that have been removed. This is a very important conclusion for everyone who uses OSM data, not just linear data.</w:t>
      </w:r>
    </w:p>
    <w:p>
      <w:pPr>
        <w:pStyle w:val="BodyText"/>
        <w:rPr/>
      </w:pPr>
      <w:r>
        <w:rPr>
          <w:b/>
          <w:bCs/>
        </w:rPr>
        <w:t>Response</w:t>
      </w:r>
    </w:p>
    <w:p>
      <w:pPr>
        <w:pStyle w:val="BlueResponse"/>
        <w:rPr/>
      </w:pPr>
      <w:r>
        <w:rPr/>
        <w:t>We agree that the original wording could be read as overly strong, particularly given the limited number of validated removal cases. In the revised manuscript, we therefore moderated the interpretation by explicitly emphasising the uncertainty associated with the removal-related findings throughout the paper.</w:t>
      </w:r>
    </w:p>
    <w:p>
      <w:pPr>
        <w:pStyle w:val="BlueResponse"/>
        <w:rPr/>
      </w:pPr>
      <w:bookmarkStart w:id="1" w:name="reviewer-1"/>
      <w:r>
        <w:rPr/>
        <w:t>In the Abstract, we now explicitly report the small number of validated removal cases (n = 5) and emphasise the wide uncertainty associated with these estimates (lines 18–19). The Discussion was also revised to state more explicitly that removal-related findings should be interpreted cautiously given the small number of validated removals (lines 271–275). In addition, the Limitations section now clarifies that the reported removal metrics are conditional on the sampled validation set and should not be interpreted as directly generalisable estimates of detection accuracy (lines 315–324). Finally, the Conclusions were revised to frame inferred removals as uncertain and requiring cautious interpretation and independent verification where possible (lines 360–365).</w:t>
      </w:r>
      <w:bookmarkEnd w:id="1"/>
    </w:p>
    <w:p>
      <w:pPr>
        <w:pStyle w:val="Heading2"/>
        <w:rPr/>
      </w:pPr>
      <w:bookmarkStart w:id="2" w:name="reviewer-2"/>
      <w:r>
        <w:rPr/>
        <w:t>Reviewer #2</w:t>
      </w:r>
    </w:p>
    <w:p>
      <w:pPr>
        <w:pStyle w:val="FirstParagraph"/>
        <w:rPr/>
      </w:pPr>
      <w:r>
        <w:rPr>
          <w:b/>
          <w:bCs/>
        </w:rPr>
        <w:t>General comments</w:t>
      </w:r>
      <w:r>
        <w:rPr/>
        <w:t xml:space="preserve"> This study aims to evaluate the accuracy of OpenStreetMap in tracking cycling infrastructure change over time by employing a manual Google Street View verification method in Barcelona using data from 2015 and 2023. The aim of the study are pertinent to the field of cycling research and the methodological approach is sound. My comments are fairly minor as I believe the manuscript to already be in a decent place.</w:t>
      </w:r>
    </w:p>
    <w:p>
      <w:pPr>
        <w:pStyle w:val="BodyText"/>
        <w:rPr/>
      </w:pPr>
      <w:r>
        <w:rPr>
          <w:b/>
          <w:bCs/>
        </w:rPr>
        <w:t>Response</w:t>
      </w:r>
    </w:p>
    <w:p>
      <w:pPr>
        <w:pStyle w:val="BlueResponse"/>
        <w:rPr/>
      </w:pPr>
      <w:r>
        <w:rPr/>
        <w:t>We appreciate the recognition of the relevance of the research aim and the soundness of the methodological approach. We have carefully considered the reviewer’s comments and have addressed the specific points raised below.</w:t>
      </w:r>
    </w:p>
    <w:p>
      <w:pPr>
        <w:pStyle w:val="BodyText"/>
        <w:rPr/>
      </w:pPr>
      <w:r>
        <w:rPr>
          <w:b/>
          <w:bCs/>
        </w:rPr>
        <w:t>Comment 2.1</w:t>
      </w:r>
      <w:r>
        <w:rPr/>
        <w:t xml:space="preserve"> Can the author add to table 1 (or anywhere else in the manuscript) the number of distinct cycling segments (the total sample from which the GSV sample was derived)?</w:t>
      </w:r>
    </w:p>
    <w:p>
      <w:pPr>
        <w:pStyle w:val="BodyText"/>
        <w:rPr/>
      </w:pPr>
      <w:r>
        <w:rPr>
          <w:b/>
          <w:bCs/>
        </w:rPr>
        <w:t>Response</w:t>
      </w:r>
    </w:p>
    <w:p>
      <w:pPr>
        <w:pStyle w:val="BlueResponse"/>
        <w:rPr/>
      </w:pPr>
      <w:r>
        <w:rPr/>
        <w:t>We thank the reviewer for this helpful suggestion. In the revised manuscript, we now explicitly report the total number of eligible OSM-detected change segments from which the GSV validation sample was derived. The filtered evaluation pool comprised 946 segments after excluding short fragments and likely realignments, including 850 additions and 96 removals (Results, lines 228–233).</w:t>
      </w:r>
    </w:p>
    <w:p>
      <w:pPr>
        <w:pStyle w:val="BodyText"/>
        <w:rPr/>
      </w:pPr>
      <w:r>
        <w:rPr>
          <w:b/>
          <w:bCs/>
        </w:rPr>
        <w:t>Comment 2.2</w:t>
      </w:r>
      <w:r>
        <w:rPr/>
        <w:t xml:space="preserve"> I am perplexed as to why did the authors reviewed such a small number of cycling segments (n = 86), what percentage of all eligible segments does that represent? While it is true that manual GSV verifications of built environment features take time (I have conducted them many times for pedestrian and cycling infrastructures on hundreds of street segments each time), it is not a justification to select such a small sample. This represent my primary grievance with the paper as it is. I think the authors should expand their sampling further to cover as much as possible of the existing cycling network if they wish to be able to provide more generalizable comments on the precision of OSM for assessing changes in cycling infrastructure.</w:t>
      </w:r>
    </w:p>
    <w:p>
      <w:pPr>
        <w:pStyle w:val="BodyText"/>
        <w:rPr/>
      </w:pPr>
      <w:r>
        <w:rPr>
          <w:b/>
          <w:bCs/>
        </w:rPr>
        <w:t>Response</w:t>
      </w:r>
    </w:p>
    <w:p>
      <w:pPr>
        <w:pStyle w:val="BlueResponse"/>
        <w:rPr/>
      </w:pPr>
      <w:r>
        <w:rPr/>
        <w:t>We thank the reviewer for raising this important concern regarding the size of the validation sample and the generalisability of the results.</w:t>
      </w:r>
    </w:p>
    <w:p>
      <w:pPr>
        <w:pStyle w:val="BlueResponse"/>
        <w:rPr/>
      </w:pPr>
      <w:r>
        <w:rPr/>
        <w:t>The usable validation dataset comprised 86 sites in total, including 38 OSM-detected change events (33 additions; 5 removals) and 48 NONCYC control sites used to identify false negatives. These 38 validated change events originated from a filtered evaluation pool of 946 eligible OSM-detected change segments (850 additions; 96 removals), meaning that the sampled change events represented approximately 4.8% of all eligible OSM-detected changes.</w:t>
      </w:r>
    </w:p>
    <w:p>
      <w:pPr>
        <w:pStyle w:val="BlueResponse"/>
        <w:rPr/>
      </w:pPr>
      <w:r>
        <w:rPr/>
        <w:t>We agree that a larger validation sample would generally be desirable. However, the principal constraint was not simply the manual effort required for GSV interpretation, but the limited number and uneven spatial distribution of eligible removal candidates within the OSM-derived change pool itself. Removals represented only a small minority of detected changes (96 of 946 eligible segments), and many sampled tracts within several strata contained few or no eligible removal candidates. In addition, the validation workflow required suitable GSV imagery at both reference periods, further reducing the number of usable observations.</w:t>
      </w:r>
    </w:p>
    <w:p>
      <w:pPr>
        <w:pStyle w:val="BlueResponse"/>
        <w:rPr/>
      </w:pPr>
      <w:r>
        <w:rPr/>
        <w:t>To assess whether the validation sample could be substantially expanded, we conducted additional sampling sensitivity checks varying both the number of sampled tracts and the number of removal candidates sampled per tract. These tests yielded only marginal increases in usable removal observations. For example, increasing the removal quota from one to six candidate removals per tract within the originally sampled tracts increased the number of sampled removal candidates only from 5 to 6. Likewise, substantially expanding tract coverage yielded relatively modest gains in removal observations relative to additions. These additional checks suggested that the primary limitation was the rarity and uneven spatial distribution of eligible removals rather than the sampling effort itself.</w:t>
      </w:r>
    </w:p>
    <w:p>
      <w:pPr>
        <w:pStyle w:val="BlueResponse"/>
        <w:rPr/>
      </w:pPr>
      <w:r>
        <w:rPr/>
        <w:t>Importantly, the aim of the validation was not to exhaustively audit the full cycling network, but to assess whether OSM-detected change events corresponded to observable on-street changes across diverse urban contexts. The stratified design ensured that validation sites were distributed across all density-centrality strata of the city, while maintaining a transparent and reproducible validation framework.</w:t>
      </w:r>
    </w:p>
    <w:p>
      <w:pPr>
        <w:pStyle w:val="BlueResponse"/>
        <w:rPr/>
      </w:pPr>
      <w:r>
        <w:rPr/>
        <w:t>We nevertheless agree that the limited number of validated removals constrains the generalisability of removal-specific precision estimates. The revised manuscript now discusses these limitations more explicitly in Sections 3.2 and 5 (lines 228–237 and 315–324), where we clarify that removal-related estimates should be interpreted cautiously and treated as conditional on the sampled validation set rather than as directly generalisable estimates of detection accuracy.</w:t>
      </w:r>
    </w:p>
    <w:p>
      <w:pPr>
        <w:pStyle w:val="BodyText"/>
        <w:rPr/>
      </w:pPr>
      <w:r>
        <w:rPr>
          <w:b/>
          <w:bCs/>
        </w:rPr>
        <w:t>Comment 2.3</w:t>
      </w:r>
    </w:p>
    <w:p>
      <w:pPr>
        <w:pStyle w:val="BodyText"/>
        <w:rPr/>
      </w:pPr>
      <w:r>
        <w:rPr/>
        <w:t>As a minor comment, there are some adjective choices in text that seem a bit odd or superfluous (could be from the use of AI) and it would probably be best if they were cleaned out (e.g., “adjudicated baseline”, “authoritative datasets”)</w:t>
      </w:r>
    </w:p>
    <w:p>
      <w:pPr>
        <w:pStyle w:val="BodyText"/>
        <w:rPr/>
      </w:pPr>
      <w:r>
        <w:rPr>
          <w:b/>
          <w:bCs/>
        </w:rPr>
        <w:t>Response</w:t>
      </w:r>
    </w:p>
    <w:p>
      <w:pPr>
        <w:pStyle w:val="BlueResponse"/>
        <w:rPr/>
      </w:pPr>
      <w:r>
        <w:rPr/>
        <w:t>We have revised the manuscript and removed terms that may appear stylistically awkward.</w:t>
      </w:r>
    </w:p>
    <w:p>
      <w:pPr>
        <w:pStyle w:val="BlueResponse"/>
        <w:rPr/>
      </w:pPr>
      <w:bookmarkStart w:id="3" w:name="reviewer-2"/>
      <w:r>
        <w:rPr/>
        <w:t>In particular, expressions such as “adjudicated baseline” and “authoritative datasets” have been replaced with clearer and more conventional wording (e.g. “final baseline and follow-up values”, “official datasets” or “reference datasets”).</w:t>
      </w:r>
      <w:bookmarkEnd w:id="3"/>
    </w:p>
    <w:p>
      <w:pPr>
        <w:pStyle w:val="Heading2"/>
        <w:rPr/>
      </w:pPr>
      <w:bookmarkStart w:id="4" w:name="reviewer-3"/>
      <w:r>
        <w:rPr/>
        <w:t>Reviewer #3</w:t>
      </w:r>
    </w:p>
    <w:p>
      <w:pPr>
        <w:pStyle w:val="FirstParagraph"/>
        <w:rPr/>
      </w:pPr>
      <w:r>
        <w:rPr>
          <w:b/>
          <w:bCs/>
        </w:rPr>
        <w:t>General comments</w:t>
      </w:r>
      <w:r>
        <w:rPr/>
        <w:t xml:space="preserve"> This study aims to assess the temporal accuracy of the OpenStreetMap (OSM) data by using historical Google Street View (GSV). I thoroughly enjoyed reading this manuscript; it is well structured, clearly written, and supported by a solid methodological approach. I support the publication of this manuscript and recommend that it undergo only very minor revisions before being reconsidered for publication, for the following reasons:</w:t>
      </w:r>
    </w:p>
    <w:p>
      <w:pPr>
        <w:pStyle w:val="Normal"/>
        <w:numPr>
          <w:ilvl w:val="0"/>
          <w:numId w:val="1"/>
        </w:numPr>
        <w:rPr/>
      </w:pPr>
      <w:r>
        <w:rPr/>
        <w:t>The objectives are clearly articulated and address a significant methodological gap in the literature on longitudinal studies of cycling networks.</w:t>
      </w:r>
    </w:p>
    <w:p>
      <w:pPr>
        <w:pStyle w:val="Normal"/>
        <w:numPr>
          <w:ilvl w:val="0"/>
          <w:numId w:val="1"/>
        </w:numPr>
        <w:rPr/>
      </w:pPr>
      <w:r>
        <w:rPr/>
        <w:t>The methodology is particularly rigorous, relying on a careful and innovative combined use of OpenStreetMap (OSM) and Google Street View (GSV) data.</w:t>
      </w:r>
    </w:p>
    <w:p>
      <w:pPr>
        <w:pStyle w:val="Normal"/>
        <w:numPr>
          <w:ilvl w:val="0"/>
          <w:numId w:val="1"/>
        </w:numPr>
        <w:rPr/>
      </w:pPr>
      <w:r>
        <w:rPr/>
        <w:t>The results are robust and convincing, clearly presented, and supported by extensive and well-documented supplementary materials.</w:t>
      </w:r>
    </w:p>
    <w:p>
      <w:pPr>
        <w:pStyle w:val="FirstParagraph"/>
        <w:rPr/>
      </w:pPr>
      <w:r>
        <w:rPr>
          <w:b/>
          <w:bCs/>
        </w:rPr>
        <w:t>Response</w:t>
      </w:r>
    </w:p>
    <w:p>
      <w:pPr>
        <w:pStyle w:val="BlueResponse"/>
        <w:rPr/>
      </w:pPr>
      <w:r>
        <w:rPr/>
        <w:t>We thank the reviewer for their positive assessment of the manuscript and for the constructive feedback. We have addressed the minor comments below.</w:t>
      </w:r>
    </w:p>
    <w:p>
      <w:pPr>
        <w:pStyle w:val="BodyText"/>
        <w:rPr/>
      </w:pPr>
      <w:r>
        <w:rPr/>
        <w:t>Minor revisions.</w:t>
      </w:r>
    </w:p>
    <w:p>
      <w:pPr>
        <w:pStyle w:val="BodyText"/>
        <w:rPr/>
      </w:pPr>
      <w:r>
        <w:rPr>
          <w:b/>
          <w:bCs/>
        </w:rPr>
        <w:t>Comment 3.1</w:t>
      </w:r>
    </w:p>
    <w:p>
      <w:pPr>
        <w:pStyle w:val="Compact"/>
        <w:numPr>
          <w:ilvl w:val="0"/>
          <w:numId w:val="17"/>
        </w:numPr>
        <w:rPr/>
      </w:pPr>
      <w:r>
        <w:rPr/>
        <w:t>Title of Table 4 is missing.</w:t>
      </w:r>
    </w:p>
    <w:p>
      <w:pPr>
        <w:pStyle w:val="FirstParagraph"/>
        <w:rPr/>
      </w:pPr>
      <w:r>
        <w:rPr>
          <w:b/>
          <w:bCs/>
        </w:rPr>
        <w:t>Response</w:t>
      </w:r>
    </w:p>
    <w:p>
      <w:pPr>
        <w:pStyle w:val="BlueResponse"/>
        <w:rPr/>
      </w:pPr>
      <w:r>
        <w:rPr/>
        <w:t>Table 4 already included a title in the submitted manuscript. However, we agree that the caption was overly long and may have reduced clarity. In the revised version, we have shortened the table title and moved the explanatory text to a note below the table.</w:t>
      </w:r>
    </w:p>
    <w:p>
      <w:pPr>
        <w:pStyle w:val="BodyText"/>
        <w:rPr/>
      </w:pPr>
      <w:r>
        <w:rPr>
          <w:b/>
          <w:bCs/>
        </w:rPr>
        <w:t>Comment 3.2</w:t>
      </w:r>
    </w:p>
    <w:p>
      <w:pPr>
        <w:pStyle w:val="Compact"/>
        <w:numPr>
          <w:ilvl w:val="0"/>
          <w:numId w:val="18"/>
        </w:numPr>
        <w:rPr/>
      </w:pPr>
      <w:r>
        <w:rPr/>
        <w:t>Table 4 and Figure 5 present the same results. Including both is unnecessary and redundant. I suggest retaining only the table.</w:t>
      </w:r>
    </w:p>
    <w:p>
      <w:pPr>
        <w:pStyle w:val="FirstParagraph"/>
        <w:rPr/>
      </w:pPr>
      <w:r>
        <w:rPr>
          <w:b/>
          <w:bCs/>
        </w:rPr>
        <w:t>Response</w:t>
      </w:r>
    </w:p>
    <w:p>
      <w:pPr>
        <w:pStyle w:val="BlueResponse"/>
        <w:rPr/>
      </w:pPr>
      <w:r>
        <w:rPr/>
        <w:t>Figure 5 has been removed to avoid redundancy. The validation metrics are now presented only in Table 4.</w:t>
      </w:r>
    </w:p>
    <w:p>
      <w:pPr>
        <w:pStyle w:val="BodyText"/>
        <w:rPr/>
      </w:pPr>
      <w:r>
        <w:rPr>
          <w:b/>
          <w:bCs/>
        </w:rPr>
        <w:t>Comment 3.3</w:t>
      </w:r>
    </w:p>
    <w:p>
      <w:pPr>
        <w:pStyle w:val="Compact"/>
        <w:numPr>
          <w:ilvl w:val="0"/>
          <w:numId w:val="19"/>
        </w:numPr>
        <w:rPr/>
      </w:pPr>
      <w:r>
        <w:rPr/>
        <w:t>Table 3 reports 86 observations (Add:33; Remove: 5; NonCycl: 48), whereas Table 4 reports 76 observations (Add:33; Remove: 5; Pooled: 38). Is this difference expected? Please clarify.</w:t>
      </w:r>
    </w:p>
    <w:p>
      <w:pPr>
        <w:pStyle w:val="FirstParagraph"/>
        <w:rPr/>
      </w:pPr>
      <w:r>
        <w:rPr>
          <w:b/>
          <w:bCs/>
        </w:rPr>
        <w:t>Response</w:t>
      </w:r>
    </w:p>
    <w:p>
      <w:pPr>
        <w:pStyle w:val="BlueResponse"/>
        <w:rPr/>
      </w:pPr>
      <w:r>
        <w:rPr/>
        <w:t>Yes, this difference is expected. Table 3 reports all usable validation observations, including non-cycling (NONCYC) control sites, whereas Table 4 reports classification metrics based on change events only (additions and removals). In Table 4, the “Pooled” category combines addition and removal observations (33 + 5 = 38), and NONCYC sites are not included as observations but contribute to the estimation of false negatives. To improve clarity, we have added a brief clarification to the note of Table 4 indicating that only change events are included, while NONCYC sites are used to identify false negatives and are not counted as observations.</w:t>
      </w:r>
    </w:p>
    <w:p>
      <w:pPr>
        <w:pStyle w:val="BodyText"/>
        <w:rPr/>
      </w:pPr>
      <w:r>
        <w:rPr>
          <w:b/>
          <w:bCs/>
        </w:rPr>
        <w:t>Comment 3.4</w:t>
      </w:r>
    </w:p>
    <w:p>
      <w:pPr>
        <w:pStyle w:val="Compact"/>
        <w:numPr>
          <w:ilvl w:val="0"/>
          <w:numId w:val="20"/>
        </w:numPr>
        <w:rPr/>
      </w:pPr>
      <w:r>
        <w:rPr/>
        <w:t>The study is based on 86 Google Street View (GSV) locations assessed at two time points. This limitation should be discussed in Section 5 entitled Generalisability and Limitations.</w:t>
      </w:r>
    </w:p>
    <w:p>
      <w:pPr>
        <w:pStyle w:val="FirstParagraph"/>
        <w:rPr/>
      </w:pPr>
      <w:r>
        <w:rPr>
          <w:b/>
          <w:bCs/>
        </w:rPr>
        <w:t>Response</w:t>
      </w:r>
    </w:p>
    <w:p>
      <w:pPr>
        <w:pStyle w:val="BlueResponse"/>
        <w:rPr/>
      </w:pPr>
      <w:r>
        <w:rPr/>
        <w:t>We agree and have expanded the discussion of this limitation in Section 5 (Generalisability and limitations). In the revised manuscript, we now explicitly state that the overall validation sample was relatively small (n = 86 usable sites), particularly for removals (n = 5), resulting in wide confidence intervals for removal-specific metrics (lines 315–324).</w:t>
      </w:r>
    </w:p>
    <w:p>
      <w:pPr>
        <w:pStyle w:val="BlueResponse"/>
        <w:rPr/>
      </w:pPr>
      <w:r>
        <w:rPr/>
        <w:t>We also clarify that the number of usable removal cases was limited by the small number of eligible removal candidates identified in OSM. This pool was further reduced by the exclusion of likely realignment artefacts and by the requirement for suitable GSV imagery at both reference periods. As a result, the manuscript now emphasises more explicitly that removal-related estimates should be interpreted cautiously and treated as conditional on the sampled validation set rather than as directly generalisable estimates of detection accuracy (lines 322–324).</w:t>
      </w:r>
    </w:p>
    <w:p>
      <w:pPr>
        <w:pStyle w:val="BodyText"/>
        <w:rPr/>
      </w:pPr>
      <w:r>
        <w:rPr>
          <w:b/>
          <w:bCs/>
        </w:rPr>
        <w:t>Comment 3.5</w:t>
      </w:r>
    </w:p>
    <w:p>
      <w:pPr>
        <w:pStyle w:val="Compact"/>
        <w:numPr>
          <w:ilvl w:val="0"/>
          <w:numId w:val="21"/>
        </w:numPr>
        <w:rPr/>
      </w:pPr>
      <w:r>
        <w:rPr/>
        <w:t>It would be useful to discuss whether this methodological approach would remain feasible if applied to a much larger number of locations (e.g., 1,000 or 10,000 sites). The limitations related to Google Street View licensing terms are not discussed, including the prohibition of web scraping and the potential need to rely on the Google Street View API, along with possible cost implications.</w:t>
      </w:r>
    </w:p>
    <w:p>
      <w:pPr>
        <w:pStyle w:val="FirstParagraph"/>
        <w:rPr/>
      </w:pPr>
      <w:r>
        <w:rPr>
          <w:b/>
          <w:bCs/>
        </w:rPr>
        <w:t>Response</w:t>
      </w:r>
    </w:p>
    <w:p>
      <w:pPr>
        <w:pStyle w:val="BlueResponse"/>
        <w:rPr/>
      </w:pPr>
      <w:r>
        <w:rPr/>
        <w:t>We have expanded Section 5 (Generalisability and limitations) to discuss the scalability of the proposed workflow. While the computational components are fully reproducible, the validation stage becomes increasingly resource-intensive at larger scales because currently available GSV APIs do not provide systematic access to historical Street View imagery across multiple time points. As a result, longitudinal validation still relies heavily on manual review of historical panoramas through the Street View interface, limiting the feasibility of fully automated large-scale validation. These considerations are now explicitly acknowledged in the revised manuscript (Section 5, lines 347–350).</w:t>
      </w:r>
    </w:p>
    <w:p>
      <w:pPr>
        <w:pStyle w:val="BlueResponse"/>
        <w:rPr/>
      </w:pPr>
      <w:bookmarkStart w:id="5" w:name="reviewer-3"/>
      <w:r>
        <w:rPr/>
        <w:t>We also note for clarification that the workflow does not rely on automated scraping or paid API access to Street View imagery. Validation was conducted through manual inspection of publicly accessible historical panoramas, meaning that the primary scalability constraint is the manual effort required for longitudinal image interpretation rather than direct licensing or API costs.</w:t>
      </w:r>
      <w:bookmarkEnd w:id="5"/>
    </w:p>
    <w:p>
      <w:pPr>
        <w:pStyle w:val="Heading2"/>
        <w:rPr/>
      </w:pPr>
      <w:bookmarkStart w:id="6" w:name="reviewer-4"/>
      <w:r>
        <w:rPr/>
        <w:t>Reviewer #4</w:t>
      </w:r>
    </w:p>
    <w:p>
      <w:pPr>
        <w:pStyle w:val="FirstParagraph"/>
        <w:rPr/>
      </w:pPr>
      <w:r>
        <w:rPr>
          <w:b/>
          <w:bCs/>
        </w:rPr>
        <w:t>General comments</w:t>
      </w:r>
    </w:p>
    <w:p>
      <w:pPr>
        <w:pStyle w:val="BodyText"/>
        <w:rPr/>
      </w:pPr>
      <w:r>
        <w:rPr/>
        <w:t>This paper addresses an important question: the reliability of OSM for detecting longitudinal cycling infrastructure change. The integration of OSM snapshot differencing with GSV-based validation is a clear strength, and the finding that additions are more reliable than removals is relevant. However, in its current form, the manuscript reads more like a technical report than a fully developed journal article, and several aspects of the validation design and interpretation require further clarification.</w:t>
      </w:r>
    </w:p>
    <w:p>
      <w:pPr>
        <w:pStyle w:val="BodyText"/>
        <w:rPr/>
      </w:pPr>
      <w:r>
        <w:rPr/>
        <w:t>In particular, the study raises a classic “proxy vs. proxy” issue in urban informatics, where one imperfect data source is used to validate another. While GSV provides a practical reference, it is itself a temporally and spatially uneven proxy. As such, it remains unclear to what extent the reported validation results reflect true agreement with ground truth, as opposed to inconsistencies between two imperfect datasets. This limitation should be more explicitly acknowledged and addressed in the manuscript.</w:t>
      </w:r>
    </w:p>
    <w:p>
      <w:pPr>
        <w:pStyle w:val="BodyText"/>
        <w:rPr/>
      </w:pPr>
      <w:r>
        <w:rPr>
          <w:b/>
          <w:bCs/>
        </w:rPr>
        <w:t>Response</w:t>
      </w:r>
    </w:p>
    <w:p>
      <w:pPr>
        <w:pStyle w:val="BlueResponse"/>
        <w:rPr/>
      </w:pPr>
      <w:r>
        <w:rPr/>
        <w:t>We thank the reviewer for their careful and constructive assessment of the manuscript. The comments raised important conceptual and methodological issues that helped us strengthen both the clarity and positioning of the study.</w:t>
      </w:r>
    </w:p>
    <w:p>
      <w:pPr>
        <w:pStyle w:val="BlueResponse"/>
        <w:rPr/>
      </w:pPr>
      <w:r>
        <w:rPr/>
        <w:t>We agree in particular that the manuscript needed to engage more explicitly with the limitations inherent in using one imperfect observational source (GSV) to validate another (OSM). In response, we revised the manuscript to clarify the interpretation and limitations of the validation framework, particularly regarding temporal mismatch, imagery coverage, infrastructure visibility, and the interpretation of the reported validation metrics.</w:t>
      </w:r>
    </w:p>
    <w:p>
      <w:pPr>
        <w:pStyle w:val="BlueResponse"/>
        <w:rPr/>
      </w:pPr>
      <w:r>
        <w:rPr/>
        <w:t>These issues are addressed in detail in the responses below and are now discussed more explicitly in Section 5 (Generalisability and limitations).</w:t>
      </w:r>
    </w:p>
    <w:p>
      <w:pPr>
        <w:pStyle w:val="BodyText"/>
        <w:rPr/>
      </w:pPr>
      <w:r>
        <w:rPr/>
        <w:t>Here are my detailed comments:</w:t>
      </w:r>
    </w:p>
    <w:p>
      <w:pPr>
        <w:pStyle w:val="BodyText"/>
        <w:rPr/>
      </w:pPr>
      <w:r>
        <w:rPr>
          <w:b/>
          <w:bCs/>
        </w:rPr>
        <w:t>Comment 4.1</w:t>
      </w:r>
    </w:p>
    <w:p>
      <w:pPr>
        <w:pStyle w:val="Compact"/>
        <w:numPr>
          <w:ilvl w:val="0"/>
          <w:numId w:val="22"/>
        </w:numPr>
        <w:rPr/>
      </w:pPr>
      <w:r>
        <w:rPr/>
        <w:t>In Section 2.3.2 and Section 5, the manuscript relies on GSV imagery as a validation reference but does not sufficiently address its limitations. GSV coverage is uneven across space and time, and the use of fallback years (e.g., 2014 and 2022) introduces temporal mismatch with the OSM snapshots. In addition, GSV is implicitly treated as ground truth, although visibility and interpretability of cycling infrastructure vary by type. The authors should clarify how these issues may bias the reported precision and recall estimates and whether the set of usable validation points is systematically skewed. The authors should also look at few papers available that have discussed the coverage and biases of the GSV image.</w:t>
      </w:r>
    </w:p>
    <w:p>
      <w:pPr>
        <w:pStyle w:val="FirstParagraph"/>
        <w:rPr/>
      </w:pPr>
      <w:r>
        <w:rPr>
          <w:b/>
          <w:bCs/>
        </w:rPr>
        <w:t>Response</w:t>
      </w:r>
    </w:p>
    <w:p>
      <w:pPr>
        <w:pStyle w:val="BlueResponse"/>
        <w:rPr/>
      </w:pPr>
      <w:r>
        <w:rPr/>
        <w:t>We agree that the original manuscript did not sufficiently discuss several limitations associated with the use of GSV imagery as a validation reference.</w:t>
      </w:r>
    </w:p>
    <w:p>
      <w:pPr>
        <w:pStyle w:val="BlueResponse"/>
        <w:rPr/>
      </w:pPr>
      <w:r>
        <w:rPr/>
        <w:t>First, we now explicitly acknowledge that GSV coverage is uneven across space and time, and that requiring imagery at both reference periods may introduce selection bias towards better-covered locations. We therefore clarify that the realised validation sample should be interpreted as conditional on observable locations rather than as a direct representation of all detected changes.</w:t>
      </w:r>
    </w:p>
    <w:p>
      <w:pPr>
        <w:pStyle w:val="BlueResponse"/>
        <w:rPr/>
      </w:pPr>
      <w:r>
        <w:rPr/>
        <w:t>Second, we expanded the discussion of temporal mismatch associated with fallback imagery years and now explicitly report the realised use of fallback imagery in the validation sample, with 2014 imagery used for 1 of 86 usable sites and 2022 imagery for 19 of 86 usable sites.</w:t>
      </w:r>
    </w:p>
    <w:p>
      <w:pPr>
        <w:pStyle w:val="BlueResponse"/>
        <w:rPr/>
      </w:pPr>
      <w:r>
        <w:rPr/>
        <w:t>Third, we clarify that GSV should not be interpreted as a perfect ground truth, but rather as a practical observational reference with its own limitations. In particular, the revised manuscript now discusses how the visibility of cycling infrastructure varies by facility type, with segregated tracks generally easier to identify than painted or shared facilities.</w:t>
      </w:r>
    </w:p>
    <w:p>
      <w:pPr>
        <w:pStyle w:val="BlueResponse"/>
        <w:rPr/>
      </w:pPr>
      <w:r>
        <w:rPr/>
        <w:t>We also expanded the discussion of how these issues may affect the reported validation metrics. The manuscript now states that precision and recall should be interpreted as agreement conditional on observable GSV locations rather than as direct measures of absolute ground-truth accuracy.</w:t>
      </w:r>
    </w:p>
    <w:p>
      <w:pPr>
        <w:pStyle w:val="BlueResponse"/>
        <w:rPr/>
      </w:pPr>
      <w:r>
        <w:rPr/>
        <w:t>Finally, following the reviewer’s suggestion, we expanded the discussion of previous methodological literature on GSV-based auditing. The revised manuscript now discusses broader limitations related to image resolution, spatial and temporal coverage, imagery-date instability, and feature visibility, drawing on previous GSV auditing studies and reviews (e.g., Curtis et al. 2013; Rundle et al. 2011; Rzotkiewicz et al. 2018).</w:t>
      </w:r>
    </w:p>
    <w:p>
      <w:pPr>
        <w:pStyle w:val="BlueResponse"/>
        <w:rPr/>
      </w:pPr>
      <w:r>
        <w:rPr/>
        <w:t>These revisions are incorporated in Section 5 (Generalisability and limitations; lines 332–346).</w:t>
      </w:r>
    </w:p>
    <w:p>
      <w:pPr>
        <w:pStyle w:val="BodyText"/>
        <w:rPr/>
      </w:pPr>
      <w:r>
        <w:rPr>
          <w:b/>
          <w:bCs/>
        </w:rPr>
        <w:t>Comment 4.2</w:t>
      </w:r>
    </w:p>
    <w:p>
      <w:pPr>
        <w:pStyle w:val="Compact"/>
        <w:numPr>
          <w:ilvl w:val="0"/>
          <w:numId w:val="23"/>
        </w:numPr>
        <w:rPr/>
      </w:pPr>
      <w:r>
        <w:rPr/>
        <w:t>In Section 2.3.1, the authors use a specific set of OSM tags to define cycling infrastructure, focusing on dedicated cycleways and certain lane/track attributes. This may exclude other forms of infrastructure (e.g., shared lanes) and could affect completeness. The authors should clarify how this definition influences the results and discusses implications for applying the framework in other contexts.</w:t>
      </w:r>
    </w:p>
    <w:p>
      <w:pPr>
        <w:pStyle w:val="FirstParagraph"/>
        <w:rPr/>
      </w:pPr>
      <w:r>
        <w:rPr>
          <w:b/>
          <w:bCs/>
        </w:rPr>
        <w:t>Response</w:t>
      </w:r>
    </w:p>
    <w:p>
      <w:pPr>
        <w:pStyle w:val="BlueResponse"/>
        <w:rPr/>
      </w:pPr>
      <w:r>
        <w:rPr/>
        <w:t>We agree that the definition of cycling infrastructure used in this study influences which forms of cycling provision are represented in the extracted network.</w:t>
      </w:r>
    </w:p>
    <w:p>
      <w:pPr>
        <w:pStyle w:val="BlueResponse"/>
        <w:rPr/>
      </w:pPr>
      <w:r>
        <w:rPr/>
        <w:t xml:space="preserve">In the revised manuscript (Section 2.3.1, lines 106–114), we now clarify more explicitly that the analysis intentionally adopts a conservative and visually interpretable definition of dedicated cycling infrastructure for subsequent GSV-based validation. Specifically, we explain the exclusion of </w:t>
      </w:r>
      <w:r>
        <w:rPr>
          <w:rStyle w:val="VerbatimChar"/>
        </w:rPr>
        <w:t>cycleway=shared_lane</w:t>
      </w:r>
      <w:r>
        <w:rPr/>
        <w:t xml:space="preserve"> tags. Although these tags may represent legitimate forms of cycling provision, they are often associated with shared-traffic or less clearly delineated cycling treatments that may not be consistently identifiable in historical GSV imagery.</w:t>
      </w:r>
    </w:p>
    <w:p>
      <w:pPr>
        <w:pStyle w:val="BlueResponse"/>
        <w:rPr/>
      </w:pPr>
      <w:r>
        <w:rPr/>
        <w:t>We further clarify that including these tags would substantially broaden the operational definition of cycling infrastructure and could reduce consistency in the manual validation process. As a result, the extracted network should be interpreted as a conservative representation of clearly delineated cycling infrastructure rather than a comprehensive representation of all forms of cycling provision. We also note that this distinction may be particularly relevant in cities where cycling provision relies more heavily on shared or mixed-traffic facilities.</w:t>
      </w:r>
    </w:p>
    <w:p>
      <w:pPr>
        <w:pStyle w:val="BodyText"/>
        <w:rPr/>
      </w:pPr>
      <w:r>
        <w:rPr>
          <w:b/>
          <w:bCs/>
        </w:rPr>
        <w:t>Comment 4.3</w:t>
      </w:r>
    </w:p>
    <w:p>
      <w:pPr>
        <w:pStyle w:val="Compact"/>
        <w:numPr>
          <w:ilvl w:val="0"/>
          <w:numId w:val="24"/>
        </w:numPr>
        <w:rPr/>
      </w:pPr>
      <w:r>
        <w:rPr/>
        <w:t>In Section 2.3.1 and Section 2.3.2, false negatives are identified using a NONCYC control pool that is explicitly filtered to exclude areas near cycling infrastructure. This design likely reduces the probability of detecting missed changes and may inflate recall estimates. The very high reported recall values (0.96-1.00) should therefore be interpreted with caution. The authors should clarify the assumptions underlying this design and discuss how it may affect the validity of recall as a performance metric.</w:t>
      </w:r>
    </w:p>
    <w:p>
      <w:pPr>
        <w:pStyle w:val="FirstParagraph"/>
        <w:rPr/>
      </w:pPr>
      <w:r>
        <w:rPr>
          <w:b/>
          <w:bCs/>
        </w:rPr>
        <w:t>Response</w:t>
      </w:r>
    </w:p>
    <w:p>
      <w:pPr>
        <w:pStyle w:val="BlueResponse"/>
        <w:rPr/>
      </w:pPr>
      <w:r>
        <w:rPr/>
        <w:t>We agree that the construction of the NONCYC control pool has implications for the interpretation of recall estimates.</w:t>
      </w:r>
    </w:p>
    <w:p>
      <w:pPr>
        <w:pStyle w:val="BlueResponse"/>
        <w:rPr/>
      </w:pPr>
      <w:r>
        <w:rPr/>
        <w:t>In our workflow, NONCYC candidates were generated from general street segments after excluding or cutting portions located within a tolerance buffer around cycling infrastructure in either reference year. This design was intended to create a clearer non-cycling comparison pool and reduce ambiguity arising from nearby or partially overlapping cycling facilities during manual GSV validation.</w:t>
      </w:r>
    </w:p>
    <w:p>
      <w:pPr>
        <w:pStyle w:val="BlueResponse"/>
        <w:rPr/>
      </w:pPr>
      <w:r>
        <w:rPr/>
        <w:t>However, we agree that this approach may reduce the likelihood of detecting false negatives near already mapped cycling infrastructure, where missed or partially mapped facilities may be more likely to occur. This could potentially contribute to an overestimation of recall.</w:t>
      </w:r>
    </w:p>
    <w:p>
      <w:pPr>
        <w:pStyle w:val="BlueResponse"/>
        <w:rPr/>
      </w:pPr>
      <w:r>
        <w:rPr/>
        <w:t>We have clarified this assumption and its implications more explicitly in the revised manuscript (Generalisability and limitations, lines 325–331), noting that recall estimates should be interpreted as conditional on the sampling framework rather than as a comprehensive measure of missed cycling-infrastructure changes across the full street network.</w:t>
      </w:r>
    </w:p>
    <w:p>
      <w:pPr>
        <w:pStyle w:val="BodyText"/>
        <w:rPr/>
      </w:pPr>
      <w:r>
        <w:rPr>
          <w:b/>
          <w:bCs/>
        </w:rPr>
        <w:t>Comment 4.4</w:t>
      </w:r>
    </w:p>
    <w:p>
      <w:pPr>
        <w:pStyle w:val="Compact"/>
        <w:numPr>
          <w:ilvl w:val="0"/>
          <w:numId w:val="25"/>
        </w:numPr>
        <w:rPr/>
      </w:pPr>
      <w:r>
        <w:rPr/>
        <w:t>The workflow depends on several parameter choices, including buffer distances, proximity thresholds, and minimum segment lengths (Section 2.3.1). While these are justified conceptually, the manuscript does not assess how sensitive the results are to these values. Given the claim of a transferable framework, the authors should either provide a sensitivity analysis or further justify the robustness of these parameter choices.</w:t>
      </w:r>
    </w:p>
    <w:p>
      <w:pPr>
        <w:pStyle w:val="FirstParagraph"/>
        <w:rPr/>
      </w:pPr>
      <w:r>
        <w:rPr>
          <w:b/>
          <w:bCs/>
        </w:rPr>
        <w:t>Response</w:t>
      </w:r>
    </w:p>
    <w:p>
      <w:pPr>
        <w:pStyle w:val="BlueResponse"/>
        <w:rPr/>
      </w:pPr>
      <w:r>
        <w:rPr/>
        <w:t>We conducted a set of targeted sensitivity checks to assess the influence of key geometric parameters, including the differencing buffer (5 m, 10 m, 15 m), the realignment threshold (10 m, 15 m, 20 m), and the minimum segment length (5 m, 10 m, 20 m).</w:t>
      </w:r>
    </w:p>
    <w:p>
      <w:pPr>
        <w:pStyle w:val="BlueResponse"/>
        <w:rPr/>
      </w:pPr>
      <w:r>
        <w:rPr/>
        <w:t>Across these variations, the overall magnitude of detected network change remained stable, with net change estimates varying within approximately 8% of the baseline configuration. Detected additions were relatively robust to parameter choice, showing limited variation across configurations. In contrast, estimated removals were more sensitive, particularly to the realignment threshold, because many apparent removals involve nearby geometric shifts or redesigns that may alternatively be classified as likely realignments rather than true infrastructure loss.</w:t>
      </w:r>
    </w:p>
    <w:p>
      <w:pPr>
        <w:pStyle w:val="BlueResponse"/>
        <w:rPr/>
      </w:pPr>
      <w:r>
        <w:rPr/>
        <w:t>Importantly, the qualitative interpretation of results remained unchanged across all tested configurations, with additions consistently dominating over removals. These findings suggest that the workflow is reasonably robust to plausible parameter choices for detecting network expansion, while reinforcing the need for caution when interpreting inferred removals.</w:t>
      </w:r>
    </w:p>
    <w:p>
      <w:pPr>
        <w:pStyle w:val="BlueResponse"/>
        <w:rPr/>
      </w:pPr>
      <w:r>
        <w:rPr/>
        <w:t>We now explicitly note in the Methods section that the robustness of the key geometric parameters used in the change-detection step was assessed through dedicated sensitivity analyses (lines 148–150). We have also added a new Results subsection summarising these checks (Section 3.3, lines 249–257), with full results provided in the new Supplement S1, described in lines 380–388.</w:t>
      </w:r>
    </w:p>
    <w:p>
      <w:pPr>
        <w:pStyle w:val="BodyText"/>
        <w:rPr/>
      </w:pPr>
      <w:r>
        <w:rPr>
          <w:b/>
          <w:bCs/>
        </w:rPr>
        <w:t>Comment 4.5</w:t>
      </w:r>
    </w:p>
    <w:p>
      <w:pPr>
        <w:pStyle w:val="Compact"/>
        <w:numPr>
          <w:ilvl w:val="0"/>
          <w:numId w:val="26"/>
        </w:numPr>
        <w:rPr/>
      </w:pPr>
      <w:r>
        <w:rPr/>
        <w:t>In Section 2.3.2 and also Table 3, although the sampling strategy is described as stratified, the actual implementation involves fixed numbers of samples per tract and is constrained by GSV availability. This leads to imbalances across classes (e.g., very few removals) and potential selection bias due to missing imagery (only 82% usable points). The authors should clarify whether the resulting validation set can be considered representative of the full set of detected changes.</w:t>
      </w:r>
    </w:p>
    <w:p>
      <w:pPr>
        <w:pStyle w:val="FirstParagraph"/>
        <w:rPr/>
      </w:pPr>
      <w:r>
        <w:rPr>
          <w:b/>
          <w:bCs/>
        </w:rPr>
        <w:t>Response</w:t>
      </w:r>
    </w:p>
    <w:p>
      <w:pPr>
        <w:pStyle w:val="BlueResponse"/>
        <w:rPr/>
      </w:pPr>
      <w:r>
        <w:rPr/>
        <w:t>We acknowledge that, although the validation design was stratified, the realised validation sample was constrained by both the spatial distribution of eligible change segments and the availability of usable GSV imagery at both reference periods. As a result, the final validation set should not be interpreted as a strictly representative sample of all detected cycling-infrastructure changes across the city.</w:t>
      </w:r>
    </w:p>
    <w:p>
      <w:pPr>
        <w:pStyle w:val="BlueResponse"/>
        <w:rPr/>
      </w:pPr>
      <w:r>
        <w:rPr/>
        <w:t>In the revised manuscript, we now clarify this explicitly in Section 3.2, where we state that, despite coverage across all density–centrality strata, the realised validation sample was constrained by eligible change availability and usable GSV imagery, and should therefore not be interpreted as strictly representative of all detected changes (lines 233–237).</w:t>
      </w:r>
    </w:p>
    <w:p>
      <w:pPr>
        <w:pStyle w:val="BlueResponse"/>
        <w:rPr/>
      </w:pPr>
      <w:r>
        <w:rPr/>
        <w:t>We also further discuss this issue in the Limitations section. Specifically, we note that the small removal sample reflects the limited number of eligible removal candidates, further reduced by realignment filtering and incomplete GSV coverage, and that removal metrics should be treated as conditional on the sampled validation set rather than directly generalisable estimates of detection accuracy (lines 315–324). We also discuss potential selection bias related to uneven GSV coverage and the requirement for imagery at both time points (lines 332–346).</w:t>
      </w:r>
    </w:p>
    <w:p>
      <w:pPr>
        <w:pStyle w:val="BodyText"/>
        <w:rPr/>
      </w:pPr>
      <w:r>
        <w:rPr>
          <w:b/>
          <w:bCs/>
        </w:rPr>
        <w:t>Comment 4.6</w:t>
      </w:r>
    </w:p>
    <w:p>
      <w:pPr>
        <w:pStyle w:val="Compact"/>
        <w:numPr>
          <w:ilvl w:val="0"/>
          <w:numId w:val="27"/>
        </w:numPr>
        <w:rPr/>
      </w:pPr>
      <w:r>
        <w:rPr/>
        <w:t>The conclusions regarding removal detection are based on only five usable cases (Table 4), which is a very small sample. While this limitation is acknowledged, the low precision of removals is emphasized throughout the manuscript, including in the Abstract and Discussion. Given the wide uncertainty associated with such a small sample, the authors should moderate these claims or provide a stronger justification for their interpretation.</w:t>
      </w:r>
    </w:p>
    <w:p>
      <w:pPr>
        <w:pStyle w:val="FirstParagraph"/>
        <w:rPr/>
      </w:pPr>
      <w:r>
        <w:rPr>
          <w:b/>
          <w:bCs/>
        </w:rPr>
        <w:t>Response</w:t>
      </w:r>
    </w:p>
    <w:p>
      <w:pPr>
        <w:pStyle w:val="BlueResponse"/>
        <w:rPr/>
      </w:pPr>
      <w:r>
        <w:rPr/>
        <w:t>We agree that the conclusions regarding removal detection are based on a very small number of usable cases (n = 5), resulting in substantial statistical uncertainty. In the revised manuscript, we therefore moderated the interpretation of removal-related findings throughout the paper and clarified that these estimates should be interpreted cautiously.</w:t>
      </w:r>
    </w:p>
    <w:p>
      <w:pPr>
        <w:pStyle w:val="BlueResponse"/>
        <w:rPr/>
      </w:pPr>
      <w:r>
        <w:rPr/>
        <w:t>In particular, the Abstract now explicitly reports the small removal sample and associated uncertainty (Abstract, lines 18–19). We also revised the Discussion to emphasise that removal-specific estimates are derived from a very limited number of validated cases and therefore remain highly uncertain (Discussion, lines 271–275). In addition, the limitations section now explicitly states that the realised validation sample and resulting removal metrics should not be interpreted as precise estimates of detection accuracy (Section 5, lines 315–324). Finally, we revised the Conclusions (lines 360–365) to further soften the interpretation of removal-related findings and explicitly acknowledge the uncertainty associated with the small removal sample.</w:t>
      </w:r>
    </w:p>
    <w:p>
      <w:pPr>
        <w:pStyle w:val="BodyText"/>
        <w:rPr/>
      </w:pPr>
      <w:r>
        <w:rPr>
          <w:b/>
          <w:bCs/>
        </w:rPr>
        <w:t>Comment 4.7</w:t>
      </w:r>
    </w:p>
    <w:p>
      <w:pPr>
        <w:pStyle w:val="Compact"/>
        <w:numPr>
          <w:ilvl w:val="0"/>
          <w:numId w:val="28"/>
        </w:numPr>
        <w:rPr/>
      </w:pPr>
      <w:r>
        <w:rPr/>
        <w:t>The manuscript emphasizes a “reproducible” and “transferable” framework; however, the validation step relies on manual coding of GSV imagery and depends on external data availability. As such, reproducibility is only partial, and transferability may vary across cities with different OSM data quality and GSV coverage. The authors should refine these claims accordingly.</w:t>
      </w:r>
    </w:p>
    <w:p>
      <w:pPr>
        <w:pStyle w:val="FirstParagraph"/>
        <w:rPr/>
      </w:pPr>
      <w:r>
        <w:rPr>
          <w:b/>
          <w:bCs/>
        </w:rPr>
        <w:t>Response</w:t>
      </w:r>
    </w:p>
    <w:p>
      <w:pPr>
        <w:pStyle w:val="BlueResponse"/>
        <w:rPr/>
      </w:pPr>
      <w:r>
        <w:rPr/>
        <w:t>We agree that the reproducibility and transferability of the workflow are subject to important practical constraints. While the computational components of the workflow are fully reproducible using open-source tools and documented procedures, the validation stage relies on structured manual validation following a documented protocol and on the availability of suitable historical street-level imagery across time and space.</w:t>
      </w:r>
    </w:p>
    <w:p>
      <w:pPr>
        <w:pStyle w:val="BlueResponse"/>
        <w:rPr/>
      </w:pPr>
      <w:r>
        <w:rPr/>
        <w:t>To clarify this distinction more explicitly, we revised the manuscript to distinguish between reproducible computational components and structured manual validation. The Abstract now explicitly refers to “manual validation using street-level imagery” (Abstract, lines 10–11), while the Introduction and Methods clarify that the workflow combines reproducible computational steps with structured manual validation following a documented protocol (Introduction, lines 75–76; Analytical workflow, lines 93–95). We also revised Section 5 (lines 313–314) and the Conclusions (lines 366–367) to refine the discussion of transferability and reproducibility.</w:t>
      </w:r>
    </w:p>
    <w:p>
      <w:pPr>
        <w:pStyle w:val="BodyText"/>
        <w:rPr/>
      </w:pPr>
      <w:r>
        <w:rPr>
          <w:b/>
          <w:bCs/>
        </w:rPr>
        <w:t>Comment 4.8</w:t>
      </w:r>
    </w:p>
    <w:p>
      <w:pPr>
        <w:pStyle w:val="Compact"/>
        <w:numPr>
          <w:ilvl w:val="0"/>
          <w:numId w:val="29"/>
        </w:numPr>
        <w:rPr/>
      </w:pPr>
      <w:r>
        <w:rPr/>
        <w:t>Minor issues.</w:t>
      </w:r>
    </w:p>
    <w:p>
      <w:pPr>
        <w:pStyle w:val="Normal"/>
        <w:numPr>
          <w:ilvl w:val="0"/>
          <w:numId w:val="30"/>
        </w:numPr>
        <w:rPr/>
      </w:pPr>
      <w:r>
        <w:rPr/>
        <w:t>There are minor inconsistencies in terminology (e.g., cycling infrastructure vs. cycleway) and some formatting/spacing issues throughout the manuscript that should be corrected.</w:t>
      </w:r>
    </w:p>
    <w:p>
      <w:pPr>
        <w:pStyle w:val="Normal"/>
        <w:numPr>
          <w:ilvl w:val="0"/>
          <w:numId w:val="31"/>
        </w:numPr>
        <w:rPr/>
      </w:pPr>
      <w:r>
        <w:rPr/>
        <w:t>In addition, the structure of the Methods section could be improved for clarity. First, although the workflow is described as a five-step process, these steps are split across two subsections (Sections 2.3.1 and 2.3.2), which makes the overall logic somewhat difficult to follow. Second, the relationship between the two subsections (OSM differencing vs. GSV validation) is not clearly introduced at the beginning of the Methods section. Third, the ordering of steps across subsections requires the reader to move back and forth, which reduces readability.</w:t>
      </w:r>
    </w:p>
    <w:p>
      <w:pPr>
        <w:pStyle w:val="FirstParagraph"/>
        <w:rPr/>
      </w:pPr>
      <w:r>
        <w:rPr>
          <w:b/>
          <w:bCs/>
        </w:rPr>
        <w:t>Response:</w:t>
      </w:r>
    </w:p>
    <w:p>
      <w:pPr>
        <w:pStyle w:val="BlueResponse"/>
        <w:rPr/>
      </w:pPr>
      <w:r>
        <w:rPr/>
        <w:t>We have revised the manuscript to ensure consistent terminology throughout, adopting “cycling infrastructure” as the primary term. Minor formatting and spacing issues have also been corrected.</w:t>
      </w:r>
    </w:p>
    <w:p>
      <w:pPr>
        <w:pStyle w:val="BlueResponse"/>
        <w:rPr/>
      </w:pPr>
      <w:r>
        <w:rPr/>
        <w:t>To address the reviewer’s concern regarding structure and readability, we revised Section 2.3 to present the analysis as a clearer sequential five-step workflow. The revised section now explicitly introduces the relationship between the two main components of the approach (OSM-based change detection and GSV-based validation) at the outset of the workflow description (lines 93–95). Steps 1–2 are presented as the change-detection component, while Steps 3–5 correspond to the validation component, with standardised step numbering and a more coherent progression across subsections. This revision clarifies how the workflow progresses from OSM reconstruction and differencing through validation and performance evaluation.</w:t>
      </w:r>
    </w:p>
    <w:p>
      <w:pPr>
        <w:pStyle w:val="BlueResponse"/>
        <w:rPr/>
      </w:pPr>
      <w:bookmarkStart w:id="7" w:name="reviewer-4"/>
      <w:r>
        <w:rPr/>
        <w:t>Figure 1 and its caption were also revised to improve visual clarity and better reflect the sequential structure of the workflow.</w:t>
      </w:r>
      <w:bookmarkEnd w:id="7"/>
    </w:p>
    <w:p>
      <w:pPr>
        <w:pStyle w:val="Heading2"/>
        <w:rPr/>
      </w:pPr>
      <w:bookmarkStart w:id="8" w:name="references"/>
      <w:r>
        <w:rPr/>
        <w:t>References</w:t>
      </w:r>
    </w:p>
    <w:p>
      <w:pPr>
        <w:pStyle w:val="Bibliography"/>
        <w:rPr/>
      </w:pPr>
      <w:bookmarkStart w:id="9" w:name="refs"/>
      <w:bookmarkStart w:id="10" w:name="ref-curtis_using_2013"/>
      <w:r>
        <w:rPr/>
        <w:t xml:space="preserve">Curtis, Jacqueline W., Andrew Curtis, Jennifer Mapes, Andrea B. Szell, and Adam Cinderich. 2013. “Using Google Street View for Systematic Observation of the Built Environment: Analysis of Spatio-Temporal Instability of Imagery Dates.” </w:t>
      </w:r>
      <w:r>
        <w:rPr>
          <w:i/>
          <w:iCs/>
        </w:rPr>
        <w:t>International Journal of Health Geographics</w:t>
      </w:r>
      <w:r>
        <w:rPr/>
        <w:t xml:space="preserve"> 12 (1): 53. </w:t>
      </w:r>
      <w:hyperlink r:id="rId2">
        <w:r>
          <w:rPr>
            <w:rStyle w:val="Hyperlink"/>
          </w:rPr>
          <w:t>https://doi.org/10.1186/1476-072X-12-53</w:t>
        </w:r>
      </w:hyperlink>
      <w:r>
        <w:rPr/>
        <w:t>.</w:t>
      </w:r>
      <w:bookmarkEnd w:id="10"/>
    </w:p>
    <w:p>
      <w:pPr>
        <w:pStyle w:val="Bibliography"/>
        <w:rPr/>
      </w:pPr>
      <w:bookmarkStart w:id="11" w:name="ref-rundle_using_2011"/>
      <w:r>
        <w:rPr/>
        <w:t xml:space="preserve">Rundle, Andrew G., Michael D. M. Bader, Catherine A. Richards, Kathryn M. Neckerman, and Julien O. Teitler. 2011. “Using Google Street View to Audit Neighborhood Environments.” </w:t>
      </w:r>
      <w:r>
        <w:rPr>
          <w:i/>
          <w:iCs/>
        </w:rPr>
        <w:t>American Journal of Preventive Medicine</w:t>
      </w:r>
      <w:r>
        <w:rPr/>
        <w:t xml:space="preserve"> 40 (1): 94–100. </w:t>
      </w:r>
      <w:hyperlink r:id="rId3">
        <w:r>
          <w:rPr>
            <w:rStyle w:val="Hyperlink"/>
          </w:rPr>
          <w:t>https://doi.org/10.1016/j.amepre.2010.09.034</w:t>
        </w:r>
      </w:hyperlink>
      <w:r>
        <w:rPr/>
        <w:t>.</w:t>
      </w:r>
      <w:bookmarkEnd w:id="11"/>
    </w:p>
    <w:p>
      <w:pPr>
        <w:pStyle w:val="Bibliography"/>
        <w:spacing w:before="0" w:after="200"/>
        <w:rPr/>
      </w:pPr>
      <w:bookmarkStart w:id="12" w:name="ref-rzotkiewicz_systematic_2018"/>
      <w:r>
        <w:rPr/>
        <w:t xml:space="preserve">Rzotkiewicz, Amanda, Amber L. Pearson, Benjamin V. Dougherty, Ashton Shortridge, and Nick Wilson. 2018. “Systematic Review of the Use of Google Street View in Health Research: Major Themes, Strengths, Weaknesses and Possibilities for Future Research.” </w:t>
      </w:r>
      <w:r>
        <w:rPr>
          <w:i/>
          <w:iCs/>
        </w:rPr>
        <w:t>Health &amp; Place</w:t>
      </w:r>
      <w:r>
        <w:rPr/>
        <w:t xml:space="preserve"> 52: 240–46. </w:t>
      </w:r>
      <w:hyperlink r:id="rId4">
        <w:r>
          <w:rPr>
            <w:rStyle w:val="Hyperlink"/>
          </w:rPr>
          <w:t>https://doi.org/10.1016/j.healthplace.2018.07.001</w:t>
        </w:r>
      </w:hyperlink>
      <w:r>
        <w:rPr/>
        <w:t>.</w:t>
      </w:r>
      <w:bookmarkEnd w:id="8"/>
      <w:bookmarkEnd w:id="9"/>
      <w:bookmarkEnd w:id="12"/>
    </w:p>
    <w:sectPr>
      <w:footerReference w:type="even" r:id="rId5"/>
      <w:footerReference w:type="default" r:id="rId6"/>
      <w:footerReference w:type="first" r:id="rId7"/>
      <w:type w:val="nextPage"/>
      <w:pgSz w:w="12240" w:h="15840"/>
      <w:pgMar w:left="1440" w:right="1440" w:gutter="0" w:header="0" w:top="1440" w:footer="1440" w:bottom="220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200"/>
      <w:rPr/>
    </w:pPr>
    <w:r>
      <w:rPr/>
      <w:fldChar w:fldCharType="begin"/>
    </w:r>
    <w:r>
      <w:rPr/>
      <w:instrText xml:space="preserve"> PAGE </w:instrText>
    </w:r>
    <w:r>
      <w:rPr/>
      <w:fldChar w:fldCharType="separate"/>
    </w:r>
    <w:r>
      <w:rPr/>
      <w:t>19</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200"/>
      <w:rPr/>
    </w:pPr>
    <w:r>
      <w:rPr/>
      <w:fldChar w:fldCharType="begin"/>
    </w:r>
    <w:r>
      <w:rPr/>
      <w:instrText xml:space="preserve"> PAGE </w:instrText>
    </w:r>
    <w:r>
      <w:rPr/>
      <w:fldChar w:fldCharType="separate"/>
    </w:r>
    <w:r>
      <w:rPr/>
      <w:t>19</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3">
    <w:lvl w:ilvl="0">
      <w:start w:val="2"/>
      <w:numFmt w:val="decimal"/>
      <w:lvlText w:val="%1."/>
      <w:lvlJc w:val="left"/>
      <w:pPr>
        <w:tabs>
          <w:tab w:val="num" w:pos="0"/>
        </w:tabs>
        <w:ind w:left="720" w:hanging="360"/>
      </w:pPr>
      <w:rPr/>
    </w:lvl>
    <w:lvl w:ilvl="1">
      <w:start w:val="2"/>
      <w:numFmt w:val="decimal"/>
      <w:lvlText w:val="%2."/>
      <w:lvlJc w:val="left"/>
      <w:pPr>
        <w:tabs>
          <w:tab w:val="num" w:pos="0"/>
        </w:tabs>
        <w:ind w:left="1440" w:hanging="360"/>
      </w:pPr>
      <w:rPr/>
    </w:lvl>
    <w:lvl w:ilvl="2">
      <w:start w:val="2"/>
      <w:numFmt w:val="decimal"/>
      <w:lvlText w:val="%3."/>
      <w:lvlJc w:val="left"/>
      <w:pPr>
        <w:tabs>
          <w:tab w:val="num" w:pos="0"/>
        </w:tabs>
        <w:ind w:left="2160" w:hanging="360"/>
      </w:pPr>
      <w:rPr/>
    </w:lvl>
    <w:lvl w:ilvl="3">
      <w:start w:val="2"/>
      <w:numFmt w:val="decimal"/>
      <w:lvlText w:val="%4."/>
      <w:lvlJc w:val="left"/>
      <w:pPr>
        <w:tabs>
          <w:tab w:val="num" w:pos="0"/>
        </w:tabs>
        <w:ind w:left="2880" w:hanging="360"/>
      </w:pPr>
      <w:rPr/>
    </w:lvl>
    <w:lvl w:ilvl="4">
      <w:start w:val="2"/>
      <w:numFmt w:val="decimal"/>
      <w:lvlText w:val="%5."/>
      <w:lvlJc w:val="left"/>
      <w:pPr>
        <w:tabs>
          <w:tab w:val="num" w:pos="0"/>
        </w:tabs>
        <w:ind w:left="3600" w:hanging="360"/>
      </w:pPr>
      <w:rPr/>
    </w:lvl>
    <w:lvl w:ilvl="5">
      <w:start w:val="2"/>
      <w:numFmt w:val="decimal"/>
      <w:lvlText w:val="%6."/>
      <w:lvlJc w:val="left"/>
      <w:pPr>
        <w:tabs>
          <w:tab w:val="num" w:pos="0"/>
        </w:tabs>
        <w:ind w:left="4320" w:hanging="360"/>
      </w:pPr>
      <w:rPr/>
    </w:lvl>
    <w:lvl w:ilvl="6">
      <w:start w:val="2"/>
      <w:numFmt w:val="decimal"/>
      <w:lvlText w:val="%7."/>
      <w:lvlJc w:val="left"/>
      <w:pPr>
        <w:tabs>
          <w:tab w:val="num" w:pos="0"/>
        </w:tabs>
        <w:ind w:left="5040" w:hanging="360"/>
      </w:pPr>
      <w:rPr/>
    </w:lvl>
    <w:lvl w:ilvl="7">
      <w:start w:val="2"/>
      <w:numFmt w:val="decimal"/>
      <w:lvlText w:val="%8."/>
      <w:lvlJc w:val="left"/>
      <w:pPr>
        <w:tabs>
          <w:tab w:val="num" w:pos="0"/>
        </w:tabs>
        <w:ind w:left="5760" w:hanging="360"/>
      </w:pPr>
      <w:rPr/>
    </w:lvl>
    <w:lvl w:ilvl="8">
      <w:start w:val="2"/>
      <w:numFmt w:val="decimal"/>
      <w:lvlText w:val="%9."/>
      <w:lvlJc w:val="left"/>
      <w:pPr>
        <w:tabs>
          <w:tab w:val="num" w:pos="0"/>
        </w:tabs>
        <w:ind w:left="6480" w:hanging="360"/>
      </w:pPr>
      <w:rPr/>
    </w:lvl>
  </w:abstractNum>
  <w:abstractNum w:abstractNumId="4">
    <w:lvl w:ilvl="0">
      <w:start w:val="3"/>
      <w:numFmt w:val="decimal"/>
      <w:lvlText w:val="%1."/>
      <w:lvlJc w:val="left"/>
      <w:pPr>
        <w:tabs>
          <w:tab w:val="num" w:pos="0"/>
        </w:tabs>
        <w:ind w:left="720" w:hanging="360"/>
      </w:pPr>
      <w:rPr/>
    </w:lvl>
    <w:lvl w:ilvl="1">
      <w:start w:val="3"/>
      <w:numFmt w:val="decimal"/>
      <w:lvlText w:val="%2."/>
      <w:lvlJc w:val="left"/>
      <w:pPr>
        <w:tabs>
          <w:tab w:val="num" w:pos="0"/>
        </w:tabs>
        <w:ind w:left="1440" w:hanging="360"/>
      </w:pPr>
      <w:rPr/>
    </w:lvl>
    <w:lvl w:ilvl="2">
      <w:start w:val="3"/>
      <w:numFmt w:val="decimal"/>
      <w:lvlText w:val="%3."/>
      <w:lvlJc w:val="left"/>
      <w:pPr>
        <w:tabs>
          <w:tab w:val="num" w:pos="0"/>
        </w:tabs>
        <w:ind w:left="2160" w:hanging="360"/>
      </w:pPr>
      <w:rPr/>
    </w:lvl>
    <w:lvl w:ilvl="3">
      <w:start w:val="3"/>
      <w:numFmt w:val="decimal"/>
      <w:lvlText w:val="%4."/>
      <w:lvlJc w:val="left"/>
      <w:pPr>
        <w:tabs>
          <w:tab w:val="num" w:pos="0"/>
        </w:tabs>
        <w:ind w:left="2880" w:hanging="360"/>
      </w:pPr>
      <w:rPr/>
    </w:lvl>
    <w:lvl w:ilvl="4">
      <w:start w:val="3"/>
      <w:numFmt w:val="decimal"/>
      <w:lvlText w:val="%5."/>
      <w:lvlJc w:val="left"/>
      <w:pPr>
        <w:tabs>
          <w:tab w:val="num" w:pos="0"/>
        </w:tabs>
        <w:ind w:left="3600" w:hanging="360"/>
      </w:pPr>
      <w:rPr/>
    </w:lvl>
    <w:lvl w:ilvl="5">
      <w:start w:val="3"/>
      <w:numFmt w:val="decimal"/>
      <w:lvlText w:val="%6."/>
      <w:lvlJc w:val="left"/>
      <w:pPr>
        <w:tabs>
          <w:tab w:val="num" w:pos="0"/>
        </w:tabs>
        <w:ind w:left="4320" w:hanging="360"/>
      </w:pPr>
      <w:rPr/>
    </w:lvl>
    <w:lvl w:ilvl="6">
      <w:start w:val="3"/>
      <w:numFmt w:val="decimal"/>
      <w:lvlText w:val="%7."/>
      <w:lvlJc w:val="left"/>
      <w:pPr>
        <w:tabs>
          <w:tab w:val="num" w:pos="0"/>
        </w:tabs>
        <w:ind w:left="5040" w:hanging="360"/>
      </w:pPr>
      <w:rPr/>
    </w:lvl>
    <w:lvl w:ilvl="7">
      <w:start w:val="3"/>
      <w:numFmt w:val="decimal"/>
      <w:lvlText w:val="%8."/>
      <w:lvlJc w:val="left"/>
      <w:pPr>
        <w:tabs>
          <w:tab w:val="num" w:pos="0"/>
        </w:tabs>
        <w:ind w:left="5760" w:hanging="360"/>
      </w:pPr>
      <w:rPr/>
    </w:lvl>
    <w:lvl w:ilvl="8">
      <w:start w:val="3"/>
      <w:numFmt w:val="decimal"/>
      <w:lvlText w:val="%9."/>
      <w:lvlJc w:val="left"/>
      <w:pPr>
        <w:tabs>
          <w:tab w:val="num" w:pos="0"/>
        </w:tabs>
        <w:ind w:left="6480" w:hanging="360"/>
      </w:pPr>
      <w:rPr/>
    </w:lvl>
  </w:abstractNum>
  <w:abstractNum w:abstractNumId="5">
    <w:lvl w:ilvl="0">
      <w:start w:val="4"/>
      <w:numFmt w:val="decimal"/>
      <w:lvlText w:val="%1."/>
      <w:lvlJc w:val="left"/>
      <w:pPr>
        <w:tabs>
          <w:tab w:val="num" w:pos="0"/>
        </w:tabs>
        <w:ind w:left="720" w:hanging="360"/>
      </w:pPr>
      <w:rPr/>
    </w:lvl>
    <w:lvl w:ilvl="1">
      <w:start w:val="4"/>
      <w:numFmt w:val="decimal"/>
      <w:lvlText w:val="%2."/>
      <w:lvlJc w:val="left"/>
      <w:pPr>
        <w:tabs>
          <w:tab w:val="num" w:pos="0"/>
        </w:tabs>
        <w:ind w:left="1440" w:hanging="360"/>
      </w:pPr>
      <w:rPr/>
    </w:lvl>
    <w:lvl w:ilvl="2">
      <w:start w:val="4"/>
      <w:numFmt w:val="decimal"/>
      <w:lvlText w:val="%3."/>
      <w:lvlJc w:val="left"/>
      <w:pPr>
        <w:tabs>
          <w:tab w:val="num" w:pos="0"/>
        </w:tabs>
        <w:ind w:left="2160" w:hanging="360"/>
      </w:pPr>
      <w:rPr/>
    </w:lvl>
    <w:lvl w:ilvl="3">
      <w:start w:val="4"/>
      <w:numFmt w:val="decimal"/>
      <w:lvlText w:val="%4."/>
      <w:lvlJc w:val="left"/>
      <w:pPr>
        <w:tabs>
          <w:tab w:val="num" w:pos="0"/>
        </w:tabs>
        <w:ind w:left="2880" w:hanging="360"/>
      </w:pPr>
      <w:rPr/>
    </w:lvl>
    <w:lvl w:ilvl="4">
      <w:start w:val="4"/>
      <w:numFmt w:val="decimal"/>
      <w:lvlText w:val="%5."/>
      <w:lvlJc w:val="left"/>
      <w:pPr>
        <w:tabs>
          <w:tab w:val="num" w:pos="0"/>
        </w:tabs>
        <w:ind w:left="3600" w:hanging="360"/>
      </w:pPr>
      <w:rPr/>
    </w:lvl>
    <w:lvl w:ilvl="5">
      <w:start w:val="4"/>
      <w:numFmt w:val="decimal"/>
      <w:lvlText w:val="%6."/>
      <w:lvlJc w:val="left"/>
      <w:pPr>
        <w:tabs>
          <w:tab w:val="num" w:pos="0"/>
        </w:tabs>
        <w:ind w:left="4320" w:hanging="360"/>
      </w:pPr>
      <w:rPr/>
    </w:lvl>
    <w:lvl w:ilvl="6">
      <w:start w:val="4"/>
      <w:numFmt w:val="decimal"/>
      <w:lvlText w:val="%7."/>
      <w:lvlJc w:val="left"/>
      <w:pPr>
        <w:tabs>
          <w:tab w:val="num" w:pos="0"/>
        </w:tabs>
        <w:ind w:left="5040" w:hanging="360"/>
      </w:pPr>
      <w:rPr/>
    </w:lvl>
    <w:lvl w:ilvl="7">
      <w:start w:val="4"/>
      <w:numFmt w:val="decimal"/>
      <w:lvlText w:val="%8."/>
      <w:lvlJc w:val="left"/>
      <w:pPr>
        <w:tabs>
          <w:tab w:val="num" w:pos="0"/>
        </w:tabs>
        <w:ind w:left="5760" w:hanging="360"/>
      </w:pPr>
      <w:rPr/>
    </w:lvl>
    <w:lvl w:ilvl="8">
      <w:start w:val="4"/>
      <w:numFmt w:val="decimal"/>
      <w:lvlText w:val="%9."/>
      <w:lvlJc w:val="left"/>
      <w:pPr>
        <w:tabs>
          <w:tab w:val="num" w:pos="0"/>
        </w:tabs>
        <w:ind w:left="6480" w:hanging="360"/>
      </w:pPr>
      <w:rPr/>
    </w:lvl>
  </w:abstractNum>
  <w:abstractNum w:abstractNumId="6">
    <w:lvl w:ilvl="0">
      <w:start w:val="5"/>
      <w:numFmt w:val="decimal"/>
      <w:lvlText w:val="%1."/>
      <w:lvlJc w:val="left"/>
      <w:pPr>
        <w:tabs>
          <w:tab w:val="num" w:pos="0"/>
        </w:tabs>
        <w:ind w:left="720" w:hanging="360"/>
      </w:pPr>
      <w:rPr/>
    </w:lvl>
    <w:lvl w:ilvl="1">
      <w:start w:val="5"/>
      <w:numFmt w:val="decimal"/>
      <w:lvlText w:val="%2."/>
      <w:lvlJc w:val="left"/>
      <w:pPr>
        <w:tabs>
          <w:tab w:val="num" w:pos="0"/>
        </w:tabs>
        <w:ind w:left="1440" w:hanging="360"/>
      </w:pPr>
      <w:rPr/>
    </w:lvl>
    <w:lvl w:ilvl="2">
      <w:start w:val="5"/>
      <w:numFmt w:val="decimal"/>
      <w:lvlText w:val="%3."/>
      <w:lvlJc w:val="left"/>
      <w:pPr>
        <w:tabs>
          <w:tab w:val="num" w:pos="0"/>
        </w:tabs>
        <w:ind w:left="2160" w:hanging="360"/>
      </w:pPr>
      <w:rPr/>
    </w:lvl>
    <w:lvl w:ilvl="3">
      <w:start w:val="5"/>
      <w:numFmt w:val="decimal"/>
      <w:lvlText w:val="%4."/>
      <w:lvlJc w:val="left"/>
      <w:pPr>
        <w:tabs>
          <w:tab w:val="num" w:pos="0"/>
        </w:tabs>
        <w:ind w:left="2880" w:hanging="360"/>
      </w:pPr>
      <w:rPr/>
    </w:lvl>
    <w:lvl w:ilvl="4">
      <w:start w:val="5"/>
      <w:numFmt w:val="decimal"/>
      <w:lvlText w:val="%5."/>
      <w:lvlJc w:val="left"/>
      <w:pPr>
        <w:tabs>
          <w:tab w:val="num" w:pos="0"/>
        </w:tabs>
        <w:ind w:left="3600" w:hanging="360"/>
      </w:pPr>
      <w:rPr/>
    </w:lvl>
    <w:lvl w:ilvl="5">
      <w:start w:val="5"/>
      <w:numFmt w:val="decimal"/>
      <w:lvlText w:val="%6."/>
      <w:lvlJc w:val="left"/>
      <w:pPr>
        <w:tabs>
          <w:tab w:val="num" w:pos="0"/>
        </w:tabs>
        <w:ind w:left="4320" w:hanging="360"/>
      </w:pPr>
      <w:rPr/>
    </w:lvl>
    <w:lvl w:ilvl="6">
      <w:start w:val="5"/>
      <w:numFmt w:val="decimal"/>
      <w:lvlText w:val="%7."/>
      <w:lvlJc w:val="left"/>
      <w:pPr>
        <w:tabs>
          <w:tab w:val="num" w:pos="0"/>
        </w:tabs>
        <w:ind w:left="5040" w:hanging="360"/>
      </w:pPr>
      <w:rPr/>
    </w:lvl>
    <w:lvl w:ilvl="7">
      <w:start w:val="5"/>
      <w:numFmt w:val="decimal"/>
      <w:lvlText w:val="%8."/>
      <w:lvlJc w:val="left"/>
      <w:pPr>
        <w:tabs>
          <w:tab w:val="num" w:pos="0"/>
        </w:tabs>
        <w:ind w:left="5760" w:hanging="360"/>
      </w:pPr>
      <w:rPr/>
    </w:lvl>
    <w:lvl w:ilvl="8">
      <w:start w:val="5"/>
      <w:numFmt w:val="decimal"/>
      <w:lvlText w:val="%9."/>
      <w:lvlJc w:val="left"/>
      <w:pPr>
        <w:tabs>
          <w:tab w:val="num" w:pos="0"/>
        </w:tabs>
        <w:ind w:left="6480" w:hanging="360"/>
      </w:pPr>
      <w:rPr/>
    </w:lvl>
  </w:abstractNum>
  <w:abstractNum w:abstractNumId="7">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8">
    <w:lvl w:ilvl="0">
      <w:start w:val="2"/>
      <w:numFmt w:val="decimal"/>
      <w:lvlText w:val="%1."/>
      <w:lvlJc w:val="left"/>
      <w:pPr>
        <w:tabs>
          <w:tab w:val="num" w:pos="0"/>
        </w:tabs>
        <w:ind w:left="720" w:hanging="360"/>
      </w:pPr>
      <w:rPr/>
    </w:lvl>
    <w:lvl w:ilvl="1">
      <w:start w:val="2"/>
      <w:numFmt w:val="decimal"/>
      <w:lvlText w:val="%2."/>
      <w:lvlJc w:val="left"/>
      <w:pPr>
        <w:tabs>
          <w:tab w:val="num" w:pos="0"/>
        </w:tabs>
        <w:ind w:left="1440" w:hanging="360"/>
      </w:pPr>
      <w:rPr/>
    </w:lvl>
    <w:lvl w:ilvl="2">
      <w:start w:val="2"/>
      <w:numFmt w:val="decimal"/>
      <w:lvlText w:val="%3."/>
      <w:lvlJc w:val="left"/>
      <w:pPr>
        <w:tabs>
          <w:tab w:val="num" w:pos="0"/>
        </w:tabs>
        <w:ind w:left="2160" w:hanging="360"/>
      </w:pPr>
      <w:rPr/>
    </w:lvl>
    <w:lvl w:ilvl="3">
      <w:start w:val="2"/>
      <w:numFmt w:val="decimal"/>
      <w:lvlText w:val="%4."/>
      <w:lvlJc w:val="left"/>
      <w:pPr>
        <w:tabs>
          <w:tab w:val="num" w:pos="0"/>
        </w:tabs>
        <w:ind w:left="2880" w:hanging="360"/>
      </w:pPr>
      <w:rPr/>
    </w:lvl>
    <w:lvl w:ilvl="4">
      <w:start w:val="2"/>
      <w:numFmt w:val="decimal"/>
      <w:lvlText w:val="%5."/>
      <w:lvlJc w:val="left"/>
      <w:pPr>
        <w:tabs>
          <w:tab w:val="num" w:pos="0"/>
        </w:tabs>
        <w:ind w:left="3600" w:hanging="360"/>
      </w:pPr>
      <w:rPr/>
    </w:lvl>
    <w:lvl w:ilvl="5">
      <w:start w:val="2"/>
      <w:numFmt w:val="decimal"/>
      <w:lvlText w:val="%6."/>
      <w:lvlJc w:val="left"/>
      <w:pPr>
        <w:tabs>
          <w:tab w:val="num" w:pos="0"/>
        </w:tabs>
        <w:ind w:left="4320" w:hanging="360"/>
      </w:pPr>
      <w:rPr/>
    </w:lvl>
    <w:lvl w:ilvl="6">
      <w:start w:val="2"/>
      <w:numFmt w:val="decimal"/>
      <w:lvlText w:val="%7."/>
      <w:lvlJc w:val="left"/>
      <w:pPr>
        <w:tabs>
          <w:tab w:val="num" w:pos="0"/>
        </w:tabs>
        <w:ind w:left="5040" w:hanging="360"/>
      </w:pPr>
      <w:rPr/>
    </w:lvl>
    <w:lvl w:ilvl="7">
      <w:start w:val="2"/>
      <w:numFmt w:val="decimal"/>
      <w:lvlText w:val="%8."/>
      <w:lvlJc w:val="left"/>
      <w:pPr>
        <w:tabs>
          <w:tab w:val="num" w:pos="0"/>
        </w:tabs>
        <w:ind w:left="5760" w:hanging="360"/>
      </w:pPr>
      <w:rPr/>
    </w:lvl>
    <w:lvl w:ilvl="8">
      <w:start w:val="2"/>
      <w:numFmt w:val="decimal"/>
      <w:lvlText w:val="%9."/>
      <w:lvlJc w:val="left"/>
      <w:pPr>
        <w:tabs>
          <w:tab w:val="num" w:pos="0"/>
        </w:tabs>
        <w:ind w:left="6480" w:hanging="360"/>
      </w:pPr>
      <w:rPr/>
    </w:lvl>
  </w:abstractNum>
  <w:abstractNum w:abstractNumId="9">
    <w:lvl w:ilvl="0">
      <w:start w:val="3"/>
      <w:numFmt w:val="decimal"/>
      <w:lvlText w:val="%1."/>
      <w:lvlJc w:val="left"/>
      <w:pPr>
        <w:tabs>
          <w:tab w:val="num" w:pos="0"/>
        </w:tabs>
        <w:ind w:left="720" w:hanging="360"/>
      </w:pPr>
      <w:rPr/>
    </w:lvl>
    <w:lvl w:ilvl="1">
      <w:start w:val="3"/>
      <w:numFmt w:val="decimal"/>
      <w:lvlText w:val="%2."/>
      <w:lvlJc w:val="left"/>
      <w:pPr>
        <w:tabs>
          <w:tab w:val="num" w:pos="0"/>
        </w:tabs>
        <w:ind w:left="1440" w:hanging="360"/>
      </w:pPr>
      <w:rPr/>
    </w:lvl>
    <w:lvl w:ilvl="2">
      <w:start w:val="3"/>
      <w:numFmt w:val="decimal"/>
      <w:lvlText w:val="%3."/>
      <w:lvlJc w:val="left"/>
      <w:pPr>
        <w:tabs>
          <w:tab w:val="num" w:pos="0"/>
        </w:tabs>
        <w:ind w:left="2160" w:hanging="360"/>
      </w:pPr>
      <w:rPr/>
    </w:lvl>
    <w:lvl w:ilvl="3">
      <w:start w:val="3"/>
      <w:numFmt w:val="decimal"/>
      <w:lvlText w:val="%4."/>
      <w:lvlJc w:val="left"/>
      <w:pPr>
        <w:tabs>
          <w:tab w:val="num" w:pos="0"/>
        </w:tabs>
        <w:ind w:left="2880" w:hanging="360"/>
      </w:pPr>
      <w:rPr/>
    </w:lvl>
    <w:lvl w:ilvl="4">
      <w:start w:val="3"/>
      <w:numFmt w:val="decimal"/>
      <w:lvlText w:val="%5."/>
      <w:lvlJc w:val="left"/>
      <w:pPr>
        <w:tabs>
          <w:tab w:val="num" w:pos="0"/>
        </w:tabs>
        <w:ind w:left="3600" w:hanging="360"/>
      </w:pPr>
      <w:rPr/>
    </w:lvl>
    <w:lvl w:ilvl="5">
      <w:start w:val="3"/>
      <w:numFmt w:val="decimal"/>
      <w:lvlText w:val="%6."/>
      <w:lvlJc w:val="left"/>
      <w:pPr>
        <w:tabs>
          <w:tab w:val="num" w:pos="0"/>
        </w:tabs>
        <w:ind w:left="4320" w:hanging="360"/>
      </w:pPr>
      <w:rPr/>
    </w:lvl>
    <w:lvl w:ilvl="6">
      <w:start w:val="3"/>
      <w:numFmt w:val="decimal"/>
      <w:lvlText w:val="%7."/>
      <w:lvlJc w:val="left"/>
      <w:pPr>
        <w:tabs>
          <w:tab w:val="num" w:pos="0"/>
        </w:tabs>
        <w:ind w:left="5040" w:hanging="360"/>
      </w:pPr>
      <w:rPr/>
    </w:lvl>
    <w:lvl w:ilvl="7">
      <w:start w:val="3"/>
      <w:numFmt w:val="decimal"/>
      <w:lvlText w:val="%8."/>
      <w:lvlJc w:val="left"/>
      <w:pPr>
        <w:tabs>
          <w:tab w:val="num" w:pos="0"/>
        </w:tabs>
        <w:ind w:left="5760" w:hanging="360"/>
      </w:pPr>
      <w:rPr/>
    </w:lvl>
    <w:lvl w:ilvl="8">
      <w:start w:val="3"/>
      <w:numFmt w:val="decimal"/>
      <w:lvlText w:val="%9."/>
      <w:lvlJc w:val="left"/>
      <w:pPr>
        <w:tabs>
          <w:tab w:val="num" w:pos="0"/>
        </w:tabs>
        <w:ind w:left="6480" w:hanging="360"/>
      </w:pPr>
      <w:rPr/>
    </w:lvl>
  </w:abstractNum>
  <w:abstractNum w:abstractNumId="10">
    <w:lvl w:ilvl="0">
      <w:start w:val="4"/>
      <w:numFmt w:val="decimal"/>
      <w:lvlText w:val="%1."/>
      <w:lvlJc w:val="left"/>
      <w:pPr>
        <w:tabs>
          <w:tab w:val="num" w:pos="0"/>
        </w:tabs>
        <w:ind w:left="720" w:hanging="360"/>
      </w:pPr>
      <w:rPr/>
    </w:lvl>
    <w:lvl w:ilvl="1">
      <w:start w:val="4"/>
      <w:numFmt w:val="decimal"/>
      <w:lvlText w:val="%2."/>
      <w:lvlJc w:val="left"/>
      <w:pPr>
        <w:tabs>
          <w:tab w:val="num" w:pos="0"/>
        </w:tabs>
        <w:ind w:left="1440" w:hanging="360"/>
      </w:pPr>
      <w:rPr/>
    </w:lvl>
    <w:lvl w:ilvl="2">
      <w:start w:val="4"/>
      <w:numFmt w:val="decimal"/>
      <w:lvlText w:val="%3."/>
      <w:lvlJc w:val="left"/>
      <w:pPr>
        <w:tabs>
          <w:tab w:val="num" w:pos="0"/>
        </w:tabs>
        <w:ind w:left="2160" w:hanging="360"/>
      </w:pPr>
      <w:rPr/>
    </w:lvl>
    <w:lvl w:ilvl="3">
      <w:start w:val="4"/>
      <w:numFmt w:val="decimal"/>
      <w:lvlText w:val="%4."/>
      <w:lvlJc w:val="left"/>
      <w:pPr>
        <w:tabs>
          <w:tab w:val="num" w:pos="0"/>
        </w:tabs>
        <w:ind w:left="2880" w:hanging="360"/>
      </w:pPr>
      <w:rPr/>
    </w:lvl>
    <w:lvl w:ilvl="4">
      <w:start w:val="4"/>
      <w:numFmt w:val="decimal"/>
      <w:lvlText w:val="%5."/>
      <w:lvlJc w:val="left"/>
      <w:pPr>
        <w:tabs>
          <w:tab w:val="num" w:pos="0"/>
        </w:tabs>
        <w:ind w:left="3600" w:hanging="360"/>
      </w:pPr>
      <w:rPr/>
    </w:lvl>
    <w:lvl w:ilvl="5">
      <w:start w:val="4"/>
      <w:numFmt w:val="decimal"/>
      <w:lvlText w:val="%6."/>
      <w:lvlJc w:val="left"/>
      <w:pPr>
        <w:tabs>
          <w:tab w:val="num" w:pos="0"/>
        </w:tabs>
        <w:ind w:left="4320" w:hanging="360"/>
      </w:pPr>
      <w:rPr/>
    </w:lvl>
    <w:lvl w:ilvl="6">
      <w:start w:val="4"/>
      <w:numFmt w:val="decimal"/>
      <w:lvlText w:val="%7."/>
      <w:lvlJc w:val="left"/>
      <w:pPr>
        <w:tabs>
          <w:tab w:val="num" w:pos="0"/>
        </w:tabs>
        <w:ind w:left="5040" w:hanging="360"/>
      </w:pPr>
      <w:rPr/>
    </w:lvl>
    <w:lvl w:ilvl="7">
      <w:start w:val="4"/>
      <w:numFmt w:val="decimal"/>
      <w:lvlText w:val="%8."/>
      <w:lvlJc w:val="left"/>
      <w:pPr>
        <w:tabs>
          <w:tab w:val="num" w:pos="0"/>
        </w:tabs>
        <w:ind w:left="5760" w:hanging="360"/>
      </w:pPr>
      <w:rPr/>
    </w:lvl>
    <w:lvl w:ilvl="8">
      <w:start w:val="4"/>
      <w:numFmt w:val="decimal"/>
      <w:lvlText w:val="%9."/>
      <w:lvlJc w:val="left"/>
      <w:pPr>
        <w:tabs>
          <w:tab w:val="num" w:pos="0"/>
        </w:tabs>
        <w:ind w:left="6480" w:hanging="360"/>
      </w:pPr>
      <w:rPr/>
    </w:lvl>
  </w:abstractNum>
  <w:abstractNum w:abstractNumId="11">
    <w:lvl w:ilvl="0">
      <w:start w:val="5"/>
      <w:numFmt w:val="decimal"/>
      <w:lvlText w:val="%1."/>
      <w:lvlJc w:val="left"/>
      <w:pPr>
        <w:tabs>
          <w:tab w:val="num" w:pos="0"/>
        </w:tabs>
        <w:ind w:left="720" w:hanging="360"/>
      </w:pPr>
      <w:rPr/>
    </w:lvl>
    <w:lvl w:ilvl="1">
      <w:start w:val="5"/>
      <w:numFmt w:val="decimal"/>
      <w:lvlText w:val="%2."/>
      <w:lvlJc w:val="left"/>
      <w:pPr>
        <w:tabs>
          <w:tab w:val="num" w:pos="0"/>
        </w:tabs>
        <w:ind w:left="1440" w:hanging="360"/>
      </w:pPr>
      <w:rPr/>
    </w:lvl>
    <w:lvl w:ilvl="2">
      <w:start w:val="5"/>
      <w:numFmt w:val="decimal"/>
      <w:lvlText w:val="%3."/>
      <w:lvlJc w:val="left"/>
      <w:pPr>
        <w:tabs>
          <w:tab w:val="num" w:pos="0"/>
        </w:tabs>
        <w:ind w:left="2160" w:hanging="360"/>
      </w:pPr>
      <w:rPr/>
    </w:lvl>
    <w:lvl w:ilvl="3">
      <w:start w:val="5"/>
      <w:numFmt w:val="decimal"/>
      <w:lvlText w:val="%4."/>
      <w:lvlJc w:val="left"/>
      <w:pPr>
        <w:tabs>
          <w:tab w:val="num" w:pos="0"/>
        </w:tabs>
        <w:ind w:left="2880" w:hanging="360"/>
      </w:pPr>
      <w:rPr/>
    </w:lvl>
    <w:lvl w:ilvl="4">
      <w:start w:val="5"/>
      <w:numFmt w:val="decimal"/>
      <w:lvlText w:val="%5."/>
      <w:lvlJc w:val="left"/>
      <w:pPr>
        <w:tabs>
          <w:tab w:val="num" w:pos="0"/>
        </w:tabs>
        <w:ind w:left="3600" w:hanging="360"/>
      </w:pPr>
      <w:rPr/>
    </w:lvl>
    <w:lvl w:ilvl="5">
      <w:start w:val="5"/>
      <w:numFmt w:val="decimal"/>
      <w:lvlText w:val="%6."/>
      <w:lvlJc w:val="left"/>
      <w:pPr>
        <w:tabs>
          <w:tab w:val="num" w:pos="0"/>
        </w:tabs>
        <w:ind w:left="4320" w:hanging="360"/>
      </w:pPr>
      <w:rPr/>
    </w:lvl>
    <w:lvl w:ilvl="6">
      <w:start w:val="5"/>
      <w:numFmt w:val="decimal"/>
      <w:lvlText w:val="%7."/>
      <w:lvlJc w:val="left"/>
      <w:pPr>
        <w:tabs>
          <w:tab w:val="num" w:pos="0"/>
        </w:tabs>
        <w:ind w:left="5040" w:hanging="360"/>
      </w:pPr>
      <w:rPr/>
    </w:lvl>
    <w:lvl w:ilvl="7">
      <w:start w:val="5"/>
      <w:numFmt w:val="decimal"/>
      <w:lvlText w:val="%8."/>
      <w:lvlJc w:val="left"/>
      <w:pPr>
        <w:tabs>
          <w:tab w:val="num" w:pos="0"/>
        </w:tabs>
        <w:ind w:left="5760" w:hanging="360"/>
      </w:pPr>
      <w:rPr/>
    </w:lvl>
    <w:lvl w:ilvl="8">
      <w:start w:val="5"/>
      <w:numFmt w:val="decimal"/>
      <w:lvlText w:val="%9."/>
      <w:lvlJc w:val="left"/>
      <w:pPr>
        <w:tabs>
          <w:tab w:val="num" w:pos="0"/>
        </w:tabs>
        <w:ind w:left="6480" w:hanging="360"/>
      </w:pPr>
      <w:rPr/>
    </w:lvl>
  </w:abstractNum>
  <w:abstractNum w:abstractNumId="12">
    <w:lvl w:ilvl="0">
      <w:start w:val="6"/>
      <w:numFmt w:val="decimal"/>
      <w:lvlText w:val="%1."/>
      <w:lvlJc w:val="left"/>
      <w:pPr>
        <w:tabs>
          <w:tab w:val="num" w:pos="0"/>
        </w:tabs>
        <w:ind w:left="720" w:hanging="360"/>
      </w:pPr>
      <w:rPr/>
    </w:lvl>
    <w:lvl w:ilvl="1">
      <w:start w:val="6"/>
      <w:numFmt w:val="decimal"/>
      <w:lvlText w:val="%2."/>
      <w:lvlJc w:val="left"/>
      <w:pPr>
        <w:tabs>
          <w:tab w:val="num" w:pos="0"/>
        </w:tabs>
        <w:ind w:left="1440" w:hanging="360"/>
      </w:pPr>
      <w:rPr/>
    </w:lvl>
    <w:lvl w:ilvl="2">
      <w:start w:val="6"/>
      <w:numFmt w:val="decimal"/>
      <w:lvlText w:val="%3."/>
      <w:lvlJc w:val="left"/>
      <w:pPr>
        <w:tabs>
          <w:tab w:val="num" w:pos="0"/>
        </w:tabs>
        <w:ind w:left="2160" w:hanging="360"/>
      </w:pPr>
      <w:rPr/>
    </w:lvl>
    <w:lvl w:ilvl="3">
      <w:start w:val="6"/>
      <w:numFmt w:val="decimal"/>
      <w:lvlText w:val="%4."/>
      <w:lvlJc w:val="left"/>
      <w:pPr>
        <w:tabs>
          <w:tab w:val="num" w:pos="0"/>
        </w:tabs>
        <w:ind w:left="2880" w:hanging="360"/>
      </w:pPr>
      <w:rPr/>
    </w:lvl>
    <w:lvl w:ilvl="4">
      <w:start w:val="6"/>
      <w:numFmt w:val="decimal"/>
      <w:lvlText w:val="%5."/>
      <w:lvlJc w:val="left"/>
      <w:pPr>
        <w:tabs>
          <w:tab w:val="num" w:pos="0"/>
        </w:tabs>
        <w:ind w:left="3600" w:hanging="360"/>
      </w:pPr>
      <w:rPr/>
    </w:lvl>
    <w:lvl w:ilvl="5">
      <w:start w:val="6"/>
      <w:numFmt w:val="decimal"/>
      <w:lvlText w:val="%6."/>
      <w:lvlJc w:val="left"/>
      <w:pPr>
        <w:tabs>
          <w:tab w:val="num" w:pos="0"/>
        </w:tabs>
        <w:ind w:left="4320" w:hanging="360"/>
      </w:pPr>
      <w:rPr/>
    </w:lvl>
    <w:lvl w:ilvl="6">
      <w:start w:val="6"/>
      <w:numFmt w:val="decimal"/>
      <w:lvlText w:val="%7."/>
      <w:lvlJc w:val="left"/>
      <w:pPr>
        <w:tabs>
          <w:tab w:val="num" w:pos="0"/>
        </w:tabs>
        <w:ind w:left="5040" w:hanging="360"/>
      </w:pPr>
      <w:rPr/>
    </w:lvl>
    <w:lvl w:ilvl="7">
      <w:start w:val="6"/>
      <w:numFmt w:val="decimal"/>
      <w:lvlText w:val="%8."/>
      <w:lvlJc w:val="left"/>
      <w:pPr>
        <w:tabs>
          <w:tab w:val="num" w:pos="0"/>
        </w:tabs>
        <w:ind w:left="5760" w:hanging="360"/>
      </w:pPr>
      <w:rPr/>
    </w:lvl>
    <w:lvl w:ilvl="8">
      <w:start w:val="6"/>
      <w:numFmt w:val="decimal"/>
      <w:lvlText w:val="%9."/>
      <w:lvlJc w:val="left"/>
      <w:pPr>
        <w:tabs>
          <w:tab w:val="num" w:pos="0"/>
        </w:tabs>
        <w:ind w:left="6480" w:hanging="360"/>
      </w:pPr>
      <w:rPr/>
    </w:lvl>
  </w:abstractNum>
  <w:abstractNum w:abstractNumId="13">
    <w:lvl w:ilvl="0">
      <w:start w:val="7"/>
      <w:numFmt w:val="decimal"/>
      <w:lvlText w:val="%1."/>
      <w:lvlJc w:val="left"/>
      <w:pPr>
        <w:tabs>
          <w:tab w:val="num" w:pos="0"/>
        </w:tabs>
        <w:ind w:left="720" w:hanging="360"/>
      </w:pPr>
      <w:rPr/>
    </w:lvl>
    <w:lvl w:ilvl="1">
      <w:start w:val="7"/>
      <w:numFmt w:val="decimal"/>
      <w:lvlText w:val="%2."/>
      <w:lvlJc w:val="left"/>
      <w:pPr>
        <w:tabs>
          <w:tab w:val="num" w:pos="0"/>
        </w:tabs>
        <w:ind w:left="1440" w:hanging="360"/>
      </w:pPr>
      <w:rPr/>
    </w:lvl>
    <w:lvl w:ilvl="2">
      <w:start w:val="7"/>
      <w:numFmt w:val="decimal"/>
      <w:lvlText w:val="%3."/>
      <w:lvlJc w:val="left"/>
      <w:pPr>
        <w:tabs>
          <w:tab w:val="num" w:pos="0"/>
        </w:tabs>
        <w:ind w:left="2160" w:hanging="360"/>
      </w:pPr>
      <w:rPr/>
    </w:lvl>
    <w:lvl w:ilvl="3">
      <w:start w:val="7"/>
      <w:numFmt w:val="decimal"/>
      <w:lvlText w:val="%4."/>
      <w:lvlJc w:val="left"/>
      <w:pPr>
        <w:tabs>
          <w:tab w:val="num" w:pos="0"/>
        </w:tabs>
        <w:ind w:left="2880" w:hanging="360"/>
      </w:pPr>
      <w:rPr/>
    </w:lvl>
    <w:lvl w:ilvl="4">
      <w:start w:val="7"/>
      <w:numFmt w:val="decimal"/>
      <w:lvlText w:val="%5."/>
      <w:lvlJc w:val="left"/>
      <w:pPr>
        <w:tabs>
          <w:tab w:val="num" w:pos="0"/>
        </w:tabs>
        <w:ind w:left="3600" w:hanging="360"/>
      </w:pPr>
      <w:rPr/>
    </w:lvl>
    <w:lvl w:ilvl="5">
      <w:start w:val="7"/>
      <w:numFmt w:val="decimal"/>
      <w:lvlText w:val="%6."/>
      <w:lvlJc w:val="left"/>
      <w:pPr>
        <w:tabs>
          <w:tab w:val="num" w:pos="0"/>
        </w:tabs>
        <w:ind w:left="4320" w:hanging="360"/>
      </w:pPr>
      <w:rPr/>
    </w:lvl>
    <w:lvl w:ilvl="6">
      <w:start w:val="7"/>
      <w:numFmt w:val="decimal"/>
      <w:lvlText w:val="%7."/>
      <w:lvlJc w:val="left"/>
      <w:pPr>
        <w:tabs>
          <w:tab w:val="num" w:pos="0"/>
        </w:tabs>
        <w:ind w:left="5040" w:hanging="360"/>
      </w:pPr>
      <w:rPr/>
    </w:lvl>
    <w:lvl w:ilvl="7">
      <w:start w:val="7"/>
      <w:numFmt w:val="decimal"/>
      <w:lvlText w:val="%8."/>
      <w:lvlJc w:val="left"/>
      <w:pPr>
        <w:tabs>
          <w:tab w:val="num" w:pos="0"/>
        </w:tabs>
        <w:ind w:left="5760" w:hanging="360"/>
      </w:pPr>
      <w:rPr/>
    </w:lvl>
    <w:lvl w:ilvl="8">
      <w:start w:val="7"/>
      <w:numFmt w:val="decimal"/>
      <w:lvlText w:val="%9."/>
      <w:lvlJc w:val="left"/>
      <w:pPr>
        <w:tabs>
          <w:tab w:val="num" w:pos="0"/>
        </w:tabs>
        <w:ind w:left="6480" w:hanging="360"/>
      </w:pPr>
      <w:rPr/>
    </w:lvl>
  </w:abstractNum>
  <w:abstractNum w:abstractNumId="14">
    <w:lvl w:ilvl="0">
      <w:start w:val="8"/>
      <w:numFmt w:val="decimal"/>
      <w:lvlText w:val="%1."/>
      <w:lvlJc w:val="left"/>
      <w:pPr>
        <w:tabs>
          <w:tab w:val="num" w:pos="0"/>
        </w:tabs>
        <w:ind w:left="720" w:hanging="360"/>
      </w:pPr>
      <w:rPr/>
    </w:lvl>
    <w:lvl w:ilvl="1">
      <w:start w:val="8"/>
      <w:numFmt w:val="decimal"/>
      <w:lvlText w:val="%2."/>
      <w:lvlJc w:val="left"/>
      <w:pPr>
        <w:tabs>
          <w:tab w:val="num" w:pos="0"/>
        </w:tabs>
        <w:ind w:left="1440" w:hanging="360"/>
      </w:pPr>
      <w:rPr/>
    </w:lvl>
    <w:lvl w:ilvl="2">
      <w:start w:val="8"/>
      <w:numFmt w:val="decimal"/>
      <w:lvlText w:val="%3."/>
      <w:lvlJc w:val="left"/>
      <w:pPr>
        <w:tabs>
          <w:tab w:val="num" w:pos="0"/>
        </w:tabs>
        <w:ind w:left="2160" w:hanging="360"/>
      </w:pPr>
      <w:rPr/>
    </w:lvl>
    <w:lvl w:ilvl="3">
      <w:start w:val="8"/>
      <w:numFmt w:val="decimal"/>
      <w:lvlText w:val="%4."/>
      <w:lvlJc w:val="left"/>
      <w:pPr>
        <w:tabs>
          <w:tab w:val="num" w:pos="0"/>
        </w:tabs>
        <w:ind w:left="2880" w:hanging="360"/>
      </w:pPr>
      <w:rPr/>
    </w:lvl>
    <w:lvl w:ilvl="4">
      <w:start w:val="8"/>
      <w:numFmt w:val="decimal"/>
      <w:lvlText w:val="%5."/>
      <w:lvlJc w:val="left"/>
      <w:pPr>
        <w:tabs>
          <w:tab w:val="num" w:pos="0"/>
        </w:tabs>
        <w:ind w:left="3600" w:hanging="360"/>
      </w:pPr>
      <w:rPr/>
    </w:lvl>
    <w:lvl w:ilvl="5">
      <w:start w:val="8"/>
      <w:numFmt w:val="decimal"/>
      <w:lvlText w:val="%6."/>
      <w:lvlJc w:val="left"/>
      <w:pPr>
        <w:tabs>
          <w:tab w:val="num" w:pos="0"/>
        </w:tabs>
        <w:ind w:left="4320" w:hanging="360"/>
      </w:pPr>
      <w:rPr/>
    </w:lvl>
    <w:lvl w:ilvl="6">
      <w:start w:val="8"/>
      <w:numFmt w:val="decimal"/>
      <w:lvlText w:val="%7."/>
      <w:lvlJc w:val="left"/>
      <w:pPr>
        <w:tabs>
          <w:tab w:val="num" w:pos="0"/>
        </w:tabs>
        <w:ind w:left="5040" w:hanging="360"/>
      </w:pPr>
      <w:rPr/>
    </w:lvl>
    <w:lvl w:ilvl="7">
      <w:start w:val="8"/>
      <w:numFmt w:val="decimal"/>
      <w:lvlText w:val="%8."/>
      <w:lvlJc w:val="left"/>
      <w:pPr>
        <w:tabs>
          <w:tab w:val="num" w:pos="0"/>
        </w:tabs>
        <w:ind w:left="5760" w:hanging="360"/>
      </w:pPr>
      <w:rPr/>
    </w:lvl>
    <w:lvl w:ilvl="8">
      <w:start w:val="8"/>
      <w:numFmt w:val="decimal"/>
      <w:lvlText w:val="%9."/>
      <w:lvlJc w:val="left"/>
      <w:pPr>
        <w:tabs>
          <w:tab w:val="num" w:pos="0"/>
        </w:tabs>
        <w:ind w:left="6480" w:hanging="360"/>
      </w:pPr>
      <w:rPr/>
    </w:lvl>
  </w:abstractNum>
  <w:abstractNum w:abstractNumId="1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2"/>
    <w:lvlOverride w:ilvl="0">
      <w:startOverride w:val="1"/>
    </w:lvlOverride>
  </w:num>
  <w:num w:numId="18">
    <w:abstractNumId w:val="3"/>
    <w:lvlOverride w:ilvl="0">
      <w:startOverride w:val="2"/>
    </w:lvlOverride>
  </w:num>
  <w:num w:numId="19">
    <w:abstractNumId w:val="4"/>
    <w:lvlOverride w:ilvl="0">
      <w:startOverride w:val="3"/>
    </w:lvlOverride>
  </w:num>
  <w:num w:numId="20">
    <w:abstractNumId w:val="5"/>
    <w:lvlOverride w:ilvl="0">
      <w:startOverride w:val="4"/>
    </w:lvlOverride>
  </w:num>
  <w:num w:numId="21">
    <w:abstractNumId w:val="6"/>
    <w:lvlOverride w:ilvl="0">
      <w:startOverride w:val="5"/>
    </w:lvlOverride>
  </w:num>
  <w:num w:numId="22">
    <w:abstractNumId w:val="2"/>
    <w:lvlOverride w:ilvl="0">
      <w:startOverride w:val="1"/>
    </w:lvlOverride>
  </w:num>
  <w:num w:numId="23">
    <w:abstractNumId w:val="3"/>
    <w:lvlOverride w:ilvl="0">
      <w:startOverride w:val="2"/>
    </w:lvlOverride>
  </w:num>
  <w:num w:numId="24">
    <w:abstractNumId w:val="4"/>
    <w:lvlOverride w:ilvl="0">
      <w:startOverride w:val="3"/>
    </w:lvlOverride>
  </w:num>
  <w:num w:numId="25">
    <w:abstractNumId w:val="5"/>
    <w:lvlOverride w:ilvl="0">
      <w:startOverride w:val="4"/>
    </w:lvlOverride>
  </w:num>
  <w:num w:numId="26">
    <w:abstractNumId w:val="6"/>
    <w:lvlOverride w:ilvl="0">
      <w:startOverride w:val="5"/>
    </w:lvlOverride>
  </w:num>
  <w:num w:numId="27">
    <w:abstractNumId w:val="12"/>
    <w:lvlOverride w:ilvl="0">
      <w:startOverride w:val="6"/>
    </w:lvlOverride>
  </w:num>
  <w:num w:numId="28">
    <w:abstractNumId w:val="13"/>
    <w:lvlOverride w:ilvl="0">
      <w:startOverride w:val="7"/>
    </w:lvlOverride>
  </w:num>
  <w:num w:numId="29">
    <w:abstractNumId w:val="14"/>
    <w:lvlOverride w:ilvl="0">
      <w:startOverride w:val="8"/>
    </w:lvlOverride>
  </w:num>
  <w:num w:numId="30">
    <w:abstractNumId w:val="1"/>
  </w:num>
  <w:num w:numId="31">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suppressAutoHyphens w:val="true"/>
      <w:bidi w:val="0"/>
      <w:spacing w:before="0" w:after="200"/>
      <w:jc w:val="left"/>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link w:val="Heading1Char"/>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val="1F4E79"/>
      <w:sz w:val="36"/>
      <w:szCs w:val="40"/>
    </w:rPr>
  </w:style>
  <w:style w:type="paragraph" w:styleId="Heading2">
    <w:name w:val="Heading 2"/>
    <w:basedOn w:val="Normal"/>
    <w:next w:val="BodyText"/>
    <w:link w:val="Heading2Char"/>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val="1F4E79"/>
      <w:sz w:val="30"/>
      <w:szCs w:val="32"/>
    </w:rPr>
  </w:style>
  <w:style w:type="paragraph" w:styleId="Heading3">
    <w:name w:val="Heading 3"/>
    <w:basedOn w:val="Normal"/>
    <w:next w:val="BodyText"/>
    <w:link w:val="Heading3Char"/>
    <w:uiPriority w:val="9"/>
    <w:semiHidden/>
    <w:unhideWhenUsed/>
    <w:qFormat/>
    <w:rsid w:val="00a10fd9"/>
    <w:pPr>
      <w:keepNext w:val="true"/>
      <w:keepLines/>
      <w:spacing w:before="160" w:after="80"/>
      <w:outlineLvl w:val="2"/>
    </w:pPr>
    <w:rPr>
      <w:rFonts w:eastAsia="" w:cs="" w:cstheme="majorBidi" w:eastAsiaTheme="majorEastAsia"/>
      <w:color w:val="1F4E79"/>
      <w:sz w:val="28"/>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val="1F4E79"/>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val="1F4E79"/>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KeywordTok" w:customStyle="1">
    <w:name w:val="KeywordTok"/>
    <w:basedOn w:val="VerbatimChar"/>
    <w:qFormat/>
    <w:rPr>
      <w:b/>
      <w:color w:val="003B4F"/>
      <w:shd w:fill="F1F3F5" w:val="clear"/>
    </w:rPr>
  </w:style>
  <w:style w:type="character" w:styleId="DataTypeTok" w:customStyle="1">
    <w:name w:val="DataTypeTok"/>
    <w:basedOn w:val="VerbatimChar"/>
    <w:qFormat/>
    <w:rPr>
      <w:color w:val="AD0000"/>
      <w:shd w:fill="F1F3F5" w:val="clear"/>
    </w:rPr>
  </w:style>
  <w:style w:type="character" w:styleId="DecValTok" w:customStyle="1">
    <w:name w:val="DecValTok"/>
    <w:basedOn w:val="VerbatimChar"/>
    <w:qFormat/>
    <w:rPr>
      <w:color w:val="AD0000"/>
      <w:shd w:fill="F1F3F5" w:val="clear"/>
    </w:rPr>
  </w:style>
  <w:style w:type="character" w:styleId="BaseNTok" w:customStyle="1">
    <w:name w:val="BaseNTok"/>
    <w:basedOn w:val="VerbatimChar"/>
    <w:qFormat/>
    <w:rPr>
      <w:color w:val="AD0000"/>
      <w:shd w:fill="F1F3F5" w:val="clear"/>
    </w:rPr>
  </w:style>
  <w:style w:type="character" w:styleId="FloatTok" w:customStyle="1">
    <w:name w:val="FloatTok"/>
    <w:basedOn w:val="VerbatimChar"/>
    <w:qFormat/>
    <w:rPr>
      <w:color w:val="AD0000"/>
      <w:shd w:fill="F1F3F5" w:val="clear"/>
    </w:rPr>
  </w:style>
  <w:style w:type="character" w:styleId="ConstantTok" w:customStyle="1">
    <w:name w:val="ConstantTok"/>
    <w:basedOn w:val="VerbatimChar"/>
    <w:qFormat/>
    <w:rPr>
      <w:color w:val="8F5902"/>
      <w:shd w:fill="F1F3F5" w:val="clear"/>
    </w:rPr>
  </w:style>
  <w:style w:type="character" w:styleId="CharTok" w:customStyle="1">
    <w:name w:val="CharTok"/>
    <w:basedOn w:val="VerbatimChar"/>
    <w:qFormat/>
    <w:rPr>
      <w:color w:val="20794D"/>
      <w:shd w:fill="F1F3F5" w:val="clear"/>
    </w:rPr>
  </w:style>
  <w:style w:type="character" w:styleId="SpecialCharTok" w:customStyle="1">
    <w:name w:val="SpecialCharTok"/>
    <w:basedOn w:val="VerbatimChar"/>
    <w:qFormat/>
    <w:rPr>
      <w:color w:val="5E5E5E"/>
      <w:shd w:fill="F1F3F5" w:val="clear"/>
    </w:rPr>
  </w:style>
  <w:style w:type="character" w:styleId="StringTok" w:customStyle="1">
    <w:name w:val="StringTok"/>
    <w:basedOn w:val="VerbatimChar"/>
    <w:qFormat/>
    <w:rPr>
      <w:color w:val="20794D"/>
      <w:shd w:fill="F1F3F5" w:val="clear"/>
    </w:rPr>
  </w:style>
  <w:style w:type="character" w:styleId="VerbatimStringTok" w:customStyle="1">
    <w:name w:val="VerbatimStringTok"/>
    <w:basedOn w:val="VerbatimChar"/>
    <w:qFormat/>
    <w:rPr>
      <w:color w:val="20794D"/>
      <w:shd w:fill="F1F3F5" w:val="clear"/>
    </w:rPr>
  </w:style>
  <w:style w:type="character" w:styleId="SpecialStringTok" w:customStyle="1">
    <w:name w:val="SpecialStringTok"/>
    <w:basedOn w:val="VerbatimChar"/>
    <w:qFormat/>
    <w:rPr>
      <w:color w:val="20794D"/>
      <w:shd w:fill="F1F3F5" w:val="clear"/>
    </w:rPr>
  </w:style>
  <w:style w:type="character" w:styleId="ImportTok" w:customStyle="1">
    <w:name w:val="ImportTok"/>
    <w:basedOn w:val="VerbatimChar"/>
    <w:qFormat/>
    <w:rPr>
      <w:color w:val="00769E"/>
      <w:shd w:fill="F1F3F5" w:val="clear"/>
    </w:rPr>
  </w:style>
  <w:style w:type="character" w:styleId="CommentTok" w:customStyle="1">
    <w:name w:val="CommentTok"/>
    <w:basedOn w:val="VerbatimChar"/>
    <w:qFormat/>
    <w:rPr>
      <w:color w:val="5E5E5E"/>
      <w:shd w:fill="F1F3F5" w:val="clear"/>
    </w:rPr>
  </w:style>
  <w:style w:type="character" w:styleId="DocumentationTok" w:customStyle="1">
    <w:name w:val="DocumentationTok"/>
    <w:basedOn w:val="VerbatimChar"/>
    <w:qFormat/>
    <w:rPr>
      <w:i/>
      <w:color w:val="5E5E5E"/>
      <w:shd w:fill="F1F3F5" w:val="clear"/>
    </w:rPr>
  </w:style>
  <w:style w:type="character" w:styleId="AnnotationTok" w:customStyle="1">
    <w:name w:val="AnnotationTok"/>
    <w:basedOn w:val="VerbatimChar"/>
    <w:qFormat/>
    <w:rPr>
      <w:color w:val="5E5E5E"/>
      <w:shd w:fill="F1F3F5" w:val="clear"/>
    </w:rPr>
  </w:style>
  <w:style w:type="character" w:styleId="CommentVarTok" w:customStyle="1">
    <w:name w:val="CommentVarTok"/>
    <w:basedOn w:val="VerbatimChar"/>
    <w:qFormat/>
    <w:rPr>
      <w:i/>
      <w:color w:val="5E5E5E"/>
      <w:shd w:fill="F1F3F5" w:val="clear"/>
    </w:rPr>
  </w:style>
  <w:style w:type="character" w:styleId="OtherTok" w:customStyle="1">
    <w:name w:val="OtherTok"/>
    <w:basedOn w:val="VerbatimChar"/>
    <w:qFormat/>
    <w:rPr>
      <w:color w:val="003B4F"/>
      <w:shd w:fill="F1F3F5" w:val="clear"/>
    </w:rPr>
  </w:style>
  <w:style w:type="character" w:styleId="FunctionTok" w:customStyle="1">
    <w:name w:val="FunctionTok"/>
    <w:basedOn w:val="VerbatimChar"/>
    <w:qFormat/>
    <w:rPr>
      <w:color w:val="4758AB"/>
      <w:shd w:fill="F1F3F5" w:val="clear"/>
    </w:rPr>
  </w:style>
  <w:style w:type="character" w:styleId="VariableTok" w:customStyle="1">
    <w:name w:val="VariableTok"/>
    <w:basedOn w:val="VerbatimChar"/>
    <w:qFormat/>
    <w:rPr>
      <w:color w:val="111111"/>
      <w:shd w:fill="F1F3F5" w:val="clear"/>
    </w:rPr>
  </w:style>
  <w:style w:type="character" w:styleId="ControlFlowTok" w:customStyle="1">
    <w:name w:val="ControlFlowTok"/>
    <w:basedOn w:val="VerbatimChar"/>
    <w:qFormat/>
    <w:rPr>
      <w:b/>
      <w:color w:val="003B4F"/>
      <w:shd w:fill="F1F3F5" w:val="clear"/>
    </w:rPr>
  </w:style>
  <w:style w:type="character" w:styleId="OperatorTok" w:customStyle="1">
    <w:name w:val="OperatorTok"/>
    <w:basedOn w:val="VerbatimChar"/>
    <w:qFormat/>
    <w:rPr>
      <w:color w:val="5E5E5E"/>
      <w:shd w:fill="F1F3F5" w:val="clear"/>
    </w:rPr>
  </w:style>
  <w:style w:type="character" w:styleId="BuiltInTok" w:customStyle="1">
    <w:name w:val="BuiltInTok"/>
    <w:basedOn w:val="VerbatimChar"/>
    <w:qFormat/>
    <w:rPr>
      <w:color w:val="003B4F"/>
      <w:shd w:fill="F1F3F5" w:val="clear"/>
    </w:rPr>
  </w:style>
  <w:style w:type="character" w:styleId="ExtensionTok" w:customStyle="1">
    <w:name w:val="ExtensionTok"/>
    <w:basedOn w:val="VerbatimChar"/>
    <w:qFormat/>
    <w:rPr>
      <w:color w:val="003B4F"/>
      <w:shd w:fill="F1F3F5" w:val="clear"/>
    </w:rPr>
  </w:style>
  <w:style w:type="character" w:styleId="PreprocessorTok" w:customStyle="1">
    <w:name w:val="PreprocessorTok"/>
    <w:basedOn w:val="VerbatimChar"/>
    <w:qFormat/>
    <w:rPr>
      <w:color w:val="AD0000"/>
      <w:shd w:fill="F1F3F5" w:val="clear"/>
    </w:rPr>
  </w:style>
  <w:style w:type="character" w:styleId="AttributeTok" w:customStyle="1">
    <w:name w:val="AttributeTok"/>
    <w:basedOn w:val="VerbatimChar"/>
    <w:qFormat/>
    <w:rPr>
      <w:color w:val="657422"/>
      <w:shd w:fill="F1F3F5" w:val="clear"/>
    </w:rPr>
  </w:style>
  <w:style w:type="character" w:styleId="RegionMarkerTok" w:customStyle="1">
    <w:name w:val="RegionMarkerTok"/>
    <w:basedOn w:val="VerbatimChar"/>
    <w:qFormat/>
    <w:rPr>
      <w:color w:val="003B4F"/>
      <w:shd w:fill="F1F3F5" w:val="clear"/>
    </w:rPr>
  </w:style>
  <w:style w:type="character" w:styleId="InformationTok" w:customStyle="1">
    <w:name w:val="InformationTok"/>
    <w:basedOn w:val="VerbatimChar"/>
    <w:qFormat/>
    <w:rPr>
      <w:color w:val="5E5E5E"/>
      <w:shd w:fill="F1F3F5" w:val="clear"/>
    </w:rPr>
  </w:style>
  <w:style w:type="character" w:styleId="WarningTok" w:customStyle="1">
    <w:name w:val="WarningTok"/>
    <w:basedOn w:val="VerbatimChar"/>
    <w:qFormat/>
    <w:rPr>
      <w:i/>
      <w:color w:val="5E5E5E"/>
      <w:shd w:fill="F1F3F5" w:val="clear"/>
    </w:rPr>
  </w:style>
  <w:style w:type="character" w:styleId="AlertTok" w:customStyle="1">
    <w:name w:val="AlertTok"/>
    <w:basedOn w:val="VerbatimChar"/>
    <w:qFormat/>
    <w:rPr>
      <w:color w:val="AD0000"/>
      <w:shd w:fill="F1F3F5" w:val="clear"/>
    </w:rPr>
  </w:style>
  <w:style w:type="character" w:styleId="ErrorTok" w:customStyle="1">
    <w:name w:val="ErrorTok"/>
    <w:basedOn w:val="VerbatimChar"/>
    <w:qFormat/>
    <w:rPr>
      <w:color w:val="AD0000"/>
      <w:shd w:fill="F1F3F5" w:val="clear"/>
    </w:rPr>
  </w:style>
  <w:style w:type="character" w:styleId="NormalTok" w:customStyle="1">
    <w:name w:val="NormalTok"/>
    <w:basedOn w:val="VerbatimChar"/>
    <w:qFormat/>
    <w:rPr>
      <w:color w:val="003B4F"/>
      <w:shd w:fill="F1F3F5" w:val="clear"/>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Lohit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Lohit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color w:val="000000"/>
      <w:spacing w:val="-10"/>
      <w:kern w:val="2"/>
      <w:sz w:val="40"/>
      <w:szCs w:val="56"/>
    </w:rPr>
  </w:style>
  <w:style w:type="paragraph" w:styleId="Subtitle">
    <w:name w:val="Subtitle"/>
    <w:basedOn w:val="Normal"/>
    <w:next w:val="BodyText"/>
    <w:link w:val="SubtitleChar"/>
    <w:uiPriority w:val="11"/>
    <w:qFormat/>
    <w:rsid w:val="00a10fd9"/>
    <w:pPr/>
    <w:rPr>
      <w:rFonts w:eastAsia="" w:cs="" w:cstheme="majorBidi" w:eastAsiaTheme="majorEastAsia"/>
      <w:color w:themeColor="text1" w:themeTint="a6" w:val="595959"/>
      <w:spacing w:val="15"/>
      <w:sz w:val="28"/>
      <w:szCs w:val="28"/>
    </w:rPr>
  </w:style>
  <w:style w:type="paragraph" w:styleId="Author" w:customStyle="1">
    <w:name w:val="Author"/>
    <w:next w:val="BodyText"/>
    <w:qFormat/>
    <w:pPr>
      <w:keepNext w:val="true"/>
      <w:keepLines/>
      <w:widowControl/>
      <w:suppressAutoHyphens w:val="true"/>
      <w:bidi w:val="0"/>
      <w:spacing w:before="0" w:after="200"/>
      <w:jc w:val="center"/>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suppressAutoHyphens w:val="true"/>
      <w:bidi w:val="0"/>
      <w:spacing w:before="0" w:after="200"/>
      <w:jc w:val="center"/>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4"/>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8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HeaderandFooter">
    <w:name w:val="Header and Footer"/>
    <w:basedOn w:val="Normal"/>
    <w:qFormat/>
    <w:pPr>
      <w:suppressLineNumbers/>
      <w:tabs>
        <w:tab w:val="clear" w:pos="720"/>
        <w:tab w:val="center" w:pos="4680" w:leader="none"/>
        <w:tab w:val="right" w:pos="9360" w:leader="none"/>
      </w:tabs>
    </w:pPr>
    <w:rPr/>
  </w:style>
  <w:style w:type="paragraph" w:styleId="Footer">
    <w:name w:val="Footer"/>
    <w:basedOn w:val="HeaderandFooter"/>
    <w:pPr>
      <w:suppressLineNumbers/>
    </w:pPr>
    <w:rPr/>
  </w:style>
  <w:style w:type="paragraph" w:styleId="Authordetails">
    <w:name w:val="Author details"/>
    <w:basedOn w:val="BodyText"/>
    <w:qFormat/>
    <w:pPr/>
    <w:rPr/>
  </w:style>
  <w:style w:type="paragraph" w:styleId="BlueResponse">
    <w:name w:val="BlueResponse"/>
    <w:basedOn w:val="BodyText"/>
    <w:uiPriority w:val="1"/>
    <w:qFormat/>
    <w:pPr>
      <w:spacing w:before="180" w:after="120"/>
    </w:pPr>
    <w:rPr>
      <w:color w:val="2F5597"/>
    </w:rPr>
  </w:style>
  <w:style w:type="paragraph" w:styleId="SourceCode" w:customStyle="1">
    <w:name w:val="Source Code"/>
    <w:basedOn w:val="Normal"/>
    <w:link w:val="VerbatimChar"/>
    <w:qFormat/>
    <w:pPr>
      <w:shd w:val="clear" w:fill="F1F3F5"/>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oi.org/10.1186/1476-072X-12-53" TargetMode="External"/><Relationship Id="rId3" Type="http://schemas.openxmlformats.org/officeDocument/2006/relationships/hyperlink" Target="https://doi.org/10.1016/j.amepre.2010.09.034" TargetMode="External"/><Relationship Id="rId4" Type="http://schemas.openxmlformats.org/officeDocument/2006/relationships/hyperlink" Target="https://doi.org/10.1016/j.healthplace.2018.07.001" TargetMode="Externa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23</TotalTime>
  <Application>LibreOffice/24.2.7.2$Linux_X86_64 LibreOffice_project/420$Build-2</Application>
  <AppVersion>15.0000</AppVersion>
  <Pages>8</Pages>
  <Words>5363</Words>
  <Characters>31590</Characters>
  <CharactersWithSpaces>36735</CharactersWithSpaces>
  <Paragraphs>164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2026-05-27T09:51:01Z</dcterms:created>
  <dc:creator/>
  <dc:description/>
  <dc:language>en-GB</dc:language>
  <cp:lastModifiedBy/>
  <dcterms:modified xsi:type="dcterms:W3CDTF">2026-05-27T09:51:01Z</dcterms:modified>
  <cp:revision>0</cp:revision>
  <dc:subject/>
  <dc:title>Response to the Reviewers’ Comments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../../refs/references.bib</vt:lpwstr>
  </property>
  <property fmtid="{D5CDD505-2E9C-101B-9397-08002B2CF9AE}" pid="4" name="editor">
    <vt:lpwstr>visual</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