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Reviewers’ Comments</w:t>
      </w:r>
    </w:p>
    <w:p>
      <w:pPr>
        <w:pStyle w:val="FirstParagraph"/>
      </w:pPr>
      <w:r>
        <w:rPr>
          <w:b/>
          <w:bCs/>
        </w:rPr>
        <w:t xml:space="preserve">Manuscript:</w:t>
      </w:r>
      <w:r>
        <w:t xml:space="preserve"> </w:t>
      </w:r>
      <w:r>
        <w:t xml:space="preserve">Quantifying the accuracy of OpenStreetMap for longitudinal cycling-infrastructure change: A reproducible validation framework using Google Street View</w:t>
      </w:r>
      <w:r>
        <w:br/>
      </w:r>
      <w:r>
        <w:rPr>
          <w:b/>
          <w:bCs/>
        </w:rPr>
        <w:t xml:space="preserve">Manuscript Number:</w:t>
      </w:r>
      <w:r>
        <w:t xml:space="preserve"> </w:t>
      </w:r>
      <w:r>
        <w:t xml:space="preserve">JTRG-D-26-00424</w:t>
      </w:r>
    </w:p>
    <w:p>
      <w:r>
        <w:pict>
          <v:rect style="width:0;height:1.5pt" o:hralign="center" o:hrstd="t" o:hr="t"/>
        </w:pict>
      </w:r>
    </w:p>
    <w:p>
      <w:pPr>
        <w:pStyle w:val="FirstParagraph"/>
      </w:pPr>
      <w:r>
        <w:t xml:space="preserve">Dear Dr Cao,</w:t>
      </w:r>
    </w:p>
    <w:p>
      <w:pPr>
        <w:pStyle w:val="BodyText"/>
      </w:pPr>
      <w:r>
        <w:t xml:space="preserve">Thank you for your decision and for the reviewers’ constructive and insightful comments on our manuscript (JTRG-D-26-00424). We have carefully revised the manuscript and addressed all comments in detail, and we believe these revisions have improved the clarity, methodological transparency, and overall contribution of the paper.</w:t>
      </w:r>
    </w:p>
    <w:p>
      <w:pPr>
        <w:pStyle w:val="BodyText"/>
      </w:pPr>
      <w:r>
        <w:t xml:space="preserve">A revised version of the manuscript is included, with key modifications indicated in bold.</w:t>
      </w:r>
    </w:p>
    <w:p>
      <w:pPr>
        <w:pStyle w:val="BodyText"/>
      </w:pPr>
      <w:r>
        <w:t xml:space="preserve">Below we provide a structured, point-by-point response to the reviewers’ comments.</w:t>
      </w:r>
    </w:p>
    <w:p>
      <w:r>
        <w:pict>
          <v:rect style="width:0;height:1.5pt" o:hralign="center" o:hrstd="t" o:hr="t"/>
        </w:pict>
      </w:r>
    </w:p>
    <w:bookmarkStart w:id="14" w:name="reviewer-1"/>
    <w:p>
      <w:pPr>
        <w:pStyle w:val="Heading2"/>
      </w:pPr>
      <w:r>
        <w:t xml:space="preserve">Reviewer #1</w:t>
      </w:r>
    </w:p>
    <w:p>
      <w:pPr>
        <w:pStyle w:val="FirstParagraph"/>
      </w:pPr>
      <w:r>
        <w:rPr>
          <w:b/>
          <w:bCs/>
        </w:rPr>
        <w:t xml:space="preserve">General comments</w:t>
      </w:r>
    </w:p>
    <w:p>
      <w:pPr>
        <w:pStyle w:val="BodyText"/>
      </w:pPr>
      <w:r>
        <w:t xml:space="preserve">The article lacks a clearly defined research objective, and it is more methodological in nature, which, of course, does not detract from its substantive and scientific value.</w:t>
      </w:r>
    </w:p>
    <w:p>
      <w:pPr>
        <w:pStyle w:val="BodyText"/>
      </w:pPr>
      <w:r>
        <w:rPr>
          <w:b/>
          <w:bCs/>
        </w:rPr>
        <w:t xml:space="preserve">Response</w:t>
      </w:r>
    </w:p>
    <w:p>
      <w:pPr>
        <w:pStyle w:val="BlueResponse"/>
      </w:pPr>
      <w:r>
        <w:t xml:space="preserve">We agree that the research objective could be stated more clearly.</w:t>
      </w:r>
    </w:p>
    <w:p>
      <w:pPr>
        <w:pStyle w:val="BlueResponse"/>
      </w:pPr>
      <w:r>
        <w:t xml:space="preserve">In the revised manuscript, we have clarified the objective in the Introduction by explicitly formulating the aim of the study at the beginning of the contribution paragraph (“Building on this gap, this study aims to quantify the temporal accuracy of OSM-derived cycling-infrastructure change…”).</w:t>
      </w:r>
    </w:p>
    <w:p>
      <w:pPr>
        <w:pStyle w:val="BodyText"/>
      </w:pPr>
      <w:r>
        <w:rPr>
          <w:b/>
          <w:bCs/>
        </w:rPr>
        <w:t xml:space="preserve">Comment 1.1</w:t>
      </w:r>
    </w:p>
    <w:p>
      <w:pPr>
        <w:pStyle w:val="BodyText"/>
      </w:pPr>
      <w:r>
        <w:t xml:space="preserve">The article analyses and validates data on the cycle route network from OSM and Google Street View. This is a new and rather innovative approach, which requires further clarification regarding: Did the authors attempt to compare information on the length of the cycle route network extracted from OSM with other data, e.g. from the city?</w:t>
      </w:r>
    </w:p>
    <w:p>
      <w:pPr>
        <w:pStyle w:val="BodyText"/>
      </w:pPr>
      <w:r>
        <w:rPr>
          <w:b/>
          <w:bCs/>
        </w:rPr>
        <w:t xml:space="preserve">Response</w:t>
      </w:r>
    </w:p>
    <w:p>
      <w:pPr>
        <w:pStyle w:val="BlueResponse"/>
      </w:pPr>
      <w:r>
        <w:t xml:space="preserve">We have incorporated a comparison between OSM-derived network length and official municipal data for Barcelona. OSM estimates indicate an increase from 130.7 km to 235.7 km between 2015 and 2023, while the official data show a comparable increase from 133.0 km to 234.0 km over the same period. Official data were obtained from the Área Metropolitana de Barcelona for 2015 and from the Barcelona Open Data portal for 2023. This close agreement provides an aggregate consistency check supporting the plausibility of the OSM-derived estimates. The comparison is presented as contextual support, while the proposed workflow is designed for application in contexts where such longitudinal official data are not available.</w:t>
      </w:r>
    </w:p>
    <w:p>
      <w:pPr>
        <w:pStyle w:val="BodyText"/>
      </w:pPr>
      <w:r>
        <w:rPr>
          <w:b/>
          <w:bCs/>
        </w:rPr>
        <w:t xml:space="preserve">Comment 1.2</w:t>
      </w:r>
    </w:p>
    <w:p>
      <w:pPr>
        <w:pStyle w:val="BodyText"/>
      </w:pPr>
      <w:r>
        <w:t xml:space="preserve">Did the authors attempt to examine entire road sections using machine learning algorithms with the aid of GSV, or did they consider doing so?</w:t>
      </w:r>
    </w:p>
    <w:p>
      <w:pPr>
        <w:pStyle w:val="BodyText"/>
      </w:pPr>
      <w:r>
        <w:rPr>
          <w:b/>
          <w:bCs/>
        </w:rPr>
        <w:t xml:space="preserve">Response</w:t>
      </w:r>
    </w:p>
    <w:p>
      <w:pPr>
        <w:pStyle w:val="BlueResponse"/>
      </w:pPr>
      <w:r>
        <w:t xml:space="preserve">Automated approaches based on machine learning and street-level imagery offer promising opportunities to scale validation of built-environment features. However, their application in this context is currently constrained by both data availability and modelling challenges.</w:t>
      </w:r>
    </w:p>
    <w:p>
      <w:pPr>
        <w:pStyle w:val="BlueResponse"/>
      </w:pPr>
      <w:r>
        <w:t xml:space="preserve">In particular, while the Google Street View API allows access to imagery at specific locations, it does not provide systematic access to historical imagery across time, which is essential for longitudinal validation. As a result, it is not currently possible to automate large-scale temporal comparisons using street-level imagery in a reproducible way.</w:t>
      </w:r>
    </w:p>
    <w:p>
      <w:pPr>
        <w:pStyle w:val="BlueResponse"/>
      </w:pPr>
      <w:r>
        <w:t xml:space="preserve">In addition, image-based approaches typically require substantial training data, are sensitive to image quality and visibility conditions, and may struggle to consistently detect more subtle forms of cycling infrastructure (e.g., painted lanes or shared facilities).</w:t>
      </w:r>
    </w:p>
    <w:p>
      <w:pPr>
        <w:pStyle w:val="BlueResponse"/>
      </w:pPr>
      <w:r>
        <w:t xml:space="preserve">For these reasons, we adopted a manual validation approach using a stratified sample of locations to ensure high interpretability and control over classification decisions. This approach allows us to directly assess the correspondence between OSM-detected changes and observable on-street conditions, while maintaining transparency and reproducibility. We agree that integrating automated image-based methods represents an important avenue for future work and have noted this in the revised manuscript (Section 2.3.2 and Section 5, Generalisability and limitations).</w:t>
      </w:r>
    </w:p>
    <w:p>
      <w:pPr>
        <w:pStyle w:val="BodyText"/>
      </w:pPr>
      <w:r>
        <w:rPr>
          <w:b/>
          <w:bCs/>
        </w:rPr>
        <w:t xml:space="preserve">Comment 1.3</w:t>
      </w:r>
    </w:p>
    <w:p>
      <w:pPr>
        <w:pStyle w:val="BodyText"/>
      </w:pPr>
      <w:r>
        <w:t xml:space="preserve">Did the authors use tools to extract data from OSM, and how did they select the road networks for each year from 2015 to 2023? Taking into account the network year by year and the changes could eliminate certain errors or even make them easier to spot.</w:t>
      </w:r>
    </w:p>
    <w:p>
      <w:pPr>
        <w:pStyle w:val="BodyText"/>
      </w:pPr>
      <w:r>
        <w:rPr>
          <w:b/>
          <w:bCs/>
        </w:rPr>
        <w:t xml:space="preserve">Response</w:t>
      </w:r>
    </w:p>
    <w:p>
      <w:pPr>
        <w:pStyle w:val="BlueResponse"/>
      </w:pPr>
      <w:r>
        <w:t xml:space="preserve">OSM data were extracted using dated Geofabrik snapshots via the osmextract R package, as described in Section 2.2. We constructed baseline and follow-up cycling-infrastructure networks corresponding to 2015 and 2023 conditions, and applied snapshot differencing to detect changes between these two reference periods. These reference years were selected to capture a policy-relevant period of infrastructure change and to align with the broader project context described in the manuscript.</w:t>
      </w:r>
    </w:p>
    <w:p>
      <w:pPr>
        <w:pStyle w:val="BlueResponse"/>
      </w:pPr>
      <w:r>
        <w:t xml:space="preserve">We acknowledge that analysing the network year by year could provide additional insights into the evolution of cycling infrastructure and may help identify certain types of mapping artefacts. However, the objective of this study is to evaluate the temporal accuracy of change detection between two reference states, rather than to reconstruct continuous network evolution.</w:t>
      </w:r>
    </w:p>
    <w:p>
      <w:pPr>
        <w:pStyle w:val="BlueResponse"/>
      </w:pPr>
      <w:r>
        <w:t xml:space="preserve">Importantly, the validation design relies on comparing OSM-detected changes with GSV imagery at two time points. Extending the analysis to yearly snapshots would require consistent access to historical imagery across multiple intermediate years, which is not currently feasible in a systematic and reproducible way.</w:t>
      </w:r>
    </w:p>
    <w:p>
      <w:pPr>
        <w:pStyle w:val="BlueResponse"/>
      </w:pPr>
      <w:r>
        <w:t xml:space="preserve">The use of two reference snapshots therefore provides a clear, interpretable, and methodologically aligned validation framework. We agree that extending this approach to multi-year temporal reconstruction represents an interesting direction for future work.</w:t>
      </w:r>
    </w:p>
    <w:p>
      <w:pPr>
        <w:pStyle w:val="BodyText"/>
      </w:pPr>
      <w:r>
        <w:rPr>
          <w:b/>
          <w:bCs/>
        </w:rPr>
        <w:t xml:space="preserve">Comment 1.4</w:t>
      </w:r>
    </w:p>
    <w:p>
      <w:pPr>
        <w:pStyle w:val="BodyText"/>
      </w:pPr>
      <w:r>
        <w:t xml:space="preserve">The network maps show that in 2015, the layout was more skeletal and oriented in a band-like pattern towards the sea, whilst over the following 8 years, major road networks were built across it. But the sections that have been removed stand out. Isn’t it perhaps the case that they were simply misclassified or were on a cycle lane (a lane on the carriageway), making them easy to remove from the data?</w:t>
      </w:r>
    </w:p>
    <w:p>
      <w:pPr>
        <w:pStyle w:val="BodyText"/>
      </w:pPr>
      <w:r>
        <w:rPr>
          <w:b/>
          <w:bCs/>
        </w:rPr>
        <w:t xml:space="preserve">Response</w:t>
      </w:r>
    </w:p>
    <w:p>
      <w:pPr>
        <w:pStyle w:val="BlueResponse"/>
      </w:pPr>
      <w:r>
        <w:t xml:space="preserve">We agree that apparent removals detected from OSM may reflect changes in tagging, reclassification of infrastructure types, or other mapping artefacts rather than true removal of infrastructure. In particular, facilities such as on-street cycle lanes or other forms of low-segregation provision may be more inconsistently mapped in OSM and therefore more prone to disappearance in snapshot-based comparisons.</w:t>
      </w:r>
    </w:p>
    <w:p>
      <w:pPr>
        <w:pStyle w:val="BlueResponse"/>
      </w:pPr>
      <w:r>
        <w:t xml:space="preserve">This is precisely why the validation step is necessary. Our GSV-based assessment explicitly evaluates whether OSM-detected removals correspond to observable on-street changes, and the results indicate that a substantial share of removal events may not reflect actual infrastructure removal. This supports our interpretation that removals are less reliably captured in OSM and should be treated with caution.</w:t>
      </w:r>
    </w:p>
    <w:p>
      <w:pPr>
        <w:pStyle w:val="BodyText"/>
      </w:pPr>
      <w:r>
        <w:rPr>
          <w:b/>
          <w:bCs/>
        </w:rPr>
        <w:t xml:space="preserve">Comment 1.5</w:t>
      </w:r>
    </w:p>
    <w:p>
      <w:pPr>
        <w:pStyle w:val="BodyText"/>
      </w:pPr>
      <w:r>
        <w:t xml:space="preserve">Finally, a very strong conclusion was drawn that the infrastructure in OSM, or the network itself, does a good job of incorporating new sections but struggles with those that have been removed. This is a very important conclusion for everyone who uses OSM data, not just linear data.</w:t>
      </w:r>
    </w:p>
    <w:p>
      <w:pPr>
        <w:pStyle w:val="BodyText"/>
      </w:pPr>
      <w:r>
        <w:rPr>
          <w:b/>
          <w:bCs/>
        </w:rPr>
        <w:t xml:space="preserve">Response</w:t>
      </w:r>
    </w:p>
    <w:p>
      <w:pPr>
        <w:pStyle w:val="BlueResponse"/>
      </w:pPr>
      <w:r>
        <w:t xml:space="preserve">We agree that the conclusion regarding removals should be interpreted with appropriate caution, particularly given the small number of validated removal cases and the associated uncertainty. In the revised manuscript, we have clarified this point by explicitly noting the limited sample size in the Abstract and by expanding the discussion of mapping artefacts and representation changes as explanations for apparent removals.</w:t>
      </w:r>
    </w:p>
    <w:bookmarkEnd w:id="14"/>
    <w:bookmarkStart w:id="15" w:name="reviewer-2"/>
    <w:p>
      <w:pPr>
        <w:pStyle w:val="Heading2"/>
      </w:pPr>
      <w:r>
        <w:t xml:space="preserve">Reviewer #2</w:t>
      </w:r>
    </w:p>
    <w:p>
      <w:pPr>
        <w:pStyle w:val="FirstParagraph"/>
      </w:pPr>
      <w:r>
        <w:rPr>
          <w:b/>
          <w:bCs/>
        </w:rPr>
        <w:t xml:space="preserve">General comments</w:t>
      </w:r>
      <w:r>
        <w:t xml:space="preserve"> </w:t>
      </w:r>
      <w:r>
        <w:t xml:space="preserve">This study aims to evaluate the accuracy of OpenStreetMap in tracking cycling infrastructure change over time by employing a manual Google Street View verification method in Barcelona using data from 2015 and 2023. The aim of the study are pertinent to the field of cycling research and the methodological approach is sound. My comments are fairly minor as I believe the manuscript to already be in a decent place.</w:t>
      </w:r>
    </w:p>
    <w:p>
      <w:pPr>
        <w:pStyle w:val="BodyText"/>
      </w:pPr>
      <w:r>
        <w:rPr>
          <w:b/>
          <w:bCs/>
        </w:rPr>
        <w:t xml:space="preserve">Response</w:t>
      </w:r>
    </w:p>
    <w:p>
      <w:pPr>
        <w:pStyle w:val="BlueResponse"/>
      </w:pPr>
      <w:r>
        <w:t xml:space="preserve">We appreciate the recognition of the relevance of the research aim and the soundness of the methodological approach. We have carefully considered the reviewer’s comments and have addressed the specific points raised below.</w:t>
      </w:r>
    </w:p>
    <w:p>
      <w:pPr>
        <w:pStyle w:val="BodyText"/>
      </w:pPr>
      <w:r>
        <w:rPr>
          <w:b/>
          <w:bCs/>
        </w:rPr>
        <w:t xml:space="preserve">Comment 2.1</w:t>
      </w:r>
      <w:r>
        <w:t xml:space="preserve"> </w:t>
      </w:r>
      <w:r>
        <w:t xml:space="preserve">Can the author add to table 1 (or anywhere else in the manuscript) the number of distinct cycling segments (the total sample from which the GSV sample was derived)?</w:t>
      </w:r>
      <w:r>
        <w:t xml:space="preserve"> </w:t>
      </w:r>
      <w:r>
        <w:rPr>
          <w:b/>
          <w:bCs/>
        </w:rPr>
        <w:t xml:space="preserve">Response</w:t>
      </w:r>
    </w:p>
    <w:p>
      <w:pPr>
        <w:pStyle w:val="BlueResponse"/>
      </w:pPr>
      <w:r>
        <w:t xml:space="preserve">We thank the reviewer for this helpful suggestion. We have now added the total number of eligible OSM-detected change segments from which the GSV validation sample was drawn to Table 1 (and clarified this in the text). The evaluation pool comprised 946 segments after excluding likely realignments, including 850 additions and 96 removals.</w:t>
      </w:r>
    </w:p>
    <w:p>
      <w:pPr>
        <w:pStyle w:val="BlueResponse"/>
      </w:pPr>
      <w:r>
        <w:t xml:space="preserve">We also clarify that eligible change segments were unevenly distributed across the density–centrality strata, particularly for removals. As a result, the final validation sample was constrained not only by the sampling design but also by the availability of candidate segments within the sampled tracts and by GSV usability.</w:t>
      </w:r>
    </w:p>
    <w:p>
      <w:pPr>
        <w:pStyle w:val="BodyText"/>
      </w:pPr>
      <w:r>
        <w:rPr>
          <w:b/>
          <w:bCs/>
        </w:rPr>
        <w:t xml:space="preserve">Comment 2.2</w:t>
      </w:r>
      <w:r>
        <w:t xml:space="preserve"> </w:t>
      </w:r>
      <w:r>
        <w:t xml:space="preserve">I am perplexed as to why did the authors reviewed such a small number of cycling segments (n = 86), what percentage of all eligible segments does that represent? While it is true that manual GSV verifications of built environment features 4 take time (I have conducted them many times for pedestrian and cycling infrastructures on hundreds of street segments each time), it is not a justification to select such a small sample. This represent my primary grievance with the paper as it is. I think the authors should expand their sampling further to cover as much as possible of the existing cycling network if they wish to be able to provide more generalizable comments on the precision of OSM for assessing changes in cycling infrastructure.</w:t>
      </w:r>
    </w:p>
    <w:p>
      <w:pPr>
        <w:pStyle w:val="BodyText"/>
      </w:pPr>
      <w:r>
        <w:rPr>
          <w:b/>
          <w:bCs/>
        </w:rPr>
        <w:t xml:space="preserve">Response</w:t>
      </w:r>
    </w:p>
    <w:p>
      <w:pPr>
        <w:pStyle w:val="BlueResponse"/>
      </w:pPr>
      <w:r>
        <w:t xml:space="preserve">We acknowledge the reviewer’s concern regarding the size of the validation sample and have clarified this point in the revised manuscript.</w:t>
      </w:r>
    </w:p>
    <w:p>
      <w:pPr>
        <w:pStyle w:val="BlueResponse"/>
      </w:pPr>
      <w:r>
        <w:t xml:space="preserve">The validation targets OSM-detected change events rather than the full cycling network. After excluding likely realignments, the evaluation pool comprised 946 eligible segments (850 additions and 96 removals), of which 86 were successfully validated using GSV, corresponding to approximately 9.1% of all eligible change segments.</w:t>
      </w:r>
    </w:p>
    <w:p>
      <w:pPr>
        <w:pStyle w:val="BlueResponse"/>
      </w:pPr>
      <w:r>
        <w:t xml:space="preserve">The sampling design follows a stratified approach, with fixed quotas applied within sampled tracts to ensure spatial coverage across different urban contexts. However, the effective sample size is constrained by the availability of eligible change segments. In many tracts, particularly for removals, few or no candidate segments are present. Additional filtering steps (e.g. minimum segment length and realignment exclusion), together with the requirement for valid GSV imagery at both reference periods, further reduce the number of segments that can be verified.</w:t>
      </w:r>
    </w:p>
    <w:p>
      <w:pPr>
        <w:pStyle w:val="BlueResponse"/>
      </w:pPr>
      <w:r>
        <w:t xml:space="preserve">We conducted sensitivity analyses increasing both the number of sampled tracts and the per-tract sampling quota. These tests showed that increasing the per-tract quota yielded no additional removal cases, while expanding the number of sampled tracts led to only modest gains and required a substantial increase in validation effort. This indicates that the sample size is primarily constrained by the scarcity and uneven spatial distribution of verifiable change events, particularly removals, rather than by the sampling strategy itself.</w:t>
      </w:r>
    </w:p>
    <w:p>
      <w:pPr>
        <w:pStyle w:val="BlueResponse"/>
      </w:pPr>
      <w:r>
        <w:t xml:space="preserve">We have revised the manuscript to explicitly report the total number of eligible segments, the proportion included in the validation sample, and the feasibility constraints affecting sample size (Section 3.2).</w:t>
      </w:r>
    </w:p>
    <w:p>
      <w:pPr>
        <w:pStyle w:val="BodyText"/>
      </w:pPr>
      <w:r>
        <w:rPr>
          <w:b/>
          <w:bCs/>
        </w:rPr>
        <w:t xml:space="preserve">Comment 2.3</w:t>
      </w:r>
    </w:p>
    <w:p>
      <w:pPr>
        <w:pStyle w:val="BodyText"/>
      </w:pPr>
      <w:r>
        <w:t xml:space="preserve">As a minor comment, there are some adjective choices in text that seem a bit odd or superfluous (could be from the use of AI) and it would probably be best if they were cleaned out (e.g.,</w:t>
      </w:r>
      <w:r>
        <w:t xml:space="preserve"> </w:t>
      </w:r>
      <w:r>
        <w:t xml:space="preserve">“adjudicated baseline”</w:t>
      </w:r>
      <w:r>
        <w:t xml:space="preserve">,</w:t>
      </w:r>
      <w:r>
        <w:t xml:space="preserve"> </w:t>
      </w:r>
      <w:r>
        <w:t xml:space="preserve">“authoritative datasets”</w:t>
      </w:r>
      <w:r>
        <w:t xml:space="preserve">)</w:t>
      </w:r>
    </w:p>
    <w:p>
      <w:pPr>
        <w:pStyle w:val="BodyText"/>
      </w:pPr>
      <w:r>
        <w:rPr>
          <w:b/>
          <w:bCs/>
        </w:rPr>
        <w:t xml:space="preserve">Response</w:t>
      </w:r>
    </w:p>
    <w:p>
      <w:pPr>
        <w:pStyle w:val="BlueResponse"/>
      </w:pPr>
      <w:r>
        <w:t xml:space="preserve">We have revised the manuscript to simplify wording and remove terms that could appear unnecessarily technical or superfluous. In particular, we have reviewed expressions such as “adjudicated baseline” and “authoritative datasets” and replaced them where appropriate with clearer wording.</w:t>
      </w:r>
    </w:p>
    <w:p>
      <w:pPr>
        <w:pStyle w:val="BlueResponse"/>
      </w:pPr>
      <w:r>
        <w:t xml:space="preserve">“adjudicated baseline and follow-up values” → “final baseline and follow-up values”</w:t>
      </w:r>
      <w:r>
        <w:t xml:space="preserve"> </w:t>
      </w:r>
      <w:r>
        <w:t xml:space="preserve">“authoritative datasets” → “official datasets” or “reference datasets”</w:t>
      </w:r>
    </w:p>
    <w:bookmarkEnd w:id="15"/>
    <w:bookmarkStart w:id="16" w:name="reviewer-3"/>
    <w:p>
      <w:pPr>
        <w:pStyle w:val="Heading2"/>
      </w:pPr>
      <w:r>
        <w:t xml:space="preserve">Reviewer #3</w:t>
      </w:r>
    </w:p>
    <w:p>
      <w:pPr>
        <w:pStyle w:val="FirstParagraph"/>
      </w:pPr>
      <w:r>
        <w:rPr>
          <w:b/>
          <w:bCs/>
        </w:rPr>
        <w:t xml:space="preserve">General comments</w:t>
      </w:r>
      <w:r>
        <w:t xml:space="preserve"> </w:t>
      </w:r>
      <w:r>
        <w:t xml:space="preserve">This study aims to assess the temporal accuracy of the OpenStreetMap (OSM) data by using historical Google Street View (GSV). I thoroughly enjoyed reading this manuscript; it is well structured, clearly written, and supported by a solid methodological approach. I support the publication of this manuscript and recommend that it undergo only very minor revisions before being reconsidered for publication, for the following reasons:</w:t>
      </w:r>
    </w:p>
    <w:p>
      <w:pPr>
        <w:numPr>
          <w:ilvl w:val="0"/>
          <w:numId w:val="1001"/>
        </w:numPr>
      </w:pPr>
      <w:r>
        <w:t xml:space="preserve">The objectives are clearly articulated and address a significant methodological gap in the literature on longitudinal studies of cycling networks.</w:t>
      </w:r>
    </w:p>
    <w:p>
      <w:pPr>
        <w:numPr>
          <w:ilvl w:val="0"/>
          <w:numId w:val="1001"/>
        </w:numPr>
      </w:pPr>
      <w:r>
        <w:t xml:space="preserve">The methodology is particularly rigorous, relying on a careful and innovative combined use of OpenStreetMap (OSM) and Google Street View (GSV) data.</w:t>
      </w:r>
    </w:p>
    <w:p>
      <w:pPr>
        <w:numPr>
          <w:ilvl w:val="0"/>
          <w:numId w:val="1001"/>
        </w:numPr>
      </w:pPr>
      <w:r>
        <w:t xml:space="preserve">The results are robust and convincing, clearly presented, and supported by extensive and well-documented supplementary materials.</w:t>
      </w:r>
    </w:p>
    <w:p>
      <w:pPr>
        <w:pStyle w:val="FirstParagraph"/>
      </w:pPr>
      <w:r>
        <w:rPr>
          <w:b/>
          <w:bCs/>
        </w:rPr>
        <w:t xml:space="preserve">Response</w:t>
      </w:r>
    </w:p>
    <w:p>
      <w:pPr>
        <w:pStyle w:val="BodyText"/>
      </w:pPr>
      <w:r>
        <w:t xml:space="preserve">Minor revisions.</w:t>
      </w:r>
    </w:p>
    <w:p>
      <w:pPr>
        <w:pStyle w:val="BodyText"/>
      </w:pPr>
      <w:r>
        <w:rPr>
          <w:b/>
          <w:bCs/>
        </w:rPr>
        <w:t xml:space="preserve">Comment 3.1</w:t>
      </w:r>
    </w:p>
    <w:p>
      <w:pPr>
        <w:pStyle w:val="Compact"/>
        <w:numPr>
          <w:ilvl w:val="0"/>
          <w:numId w:val="1002"/>
        </w:numPr>
      </w:pPr>
      <w:r>
        <w:t xml:space="preserve">Title of Table 4 is missing.</w:t>
      </w:r>
    </w:p>
    <w:p>
      <w:pPr>
        <w:pStyle w:val="FirstParagraph"/>
      </w:pPr>
      <w:r>
        <w:rPr>
          <w:b/>
          <w:bCs/>
        </w:rPr>
        <w:t xml:space="preserve">Response</w:t>
      </w:r>
    </w:p>
    <w:p>
      <w:pPr>
        <w:pStyle w:val="BlueResponse"/>
      </w:pPr>
      <w:r>
        <w:t xml:space="preserve">Table 4 already included a title in the submitted manuscript. However, we agree that the caption was overly long and may have reduced clarity. In the revised version, we have shortened the table title and moved the explanatory text to a note below the table.</w:t>
      </w:r>
    </w:p>
    <w:p>
      <w:pPr>
        <w:pStyle w:val="BodyText"/>
      </w:pPr>
      <w:r>
        <w:rPr>
          <w:b/>
          <w:bCs/>
        </w:rPr>
        <w:t xml:space="preserve">Comment 3.2</w:t>
      </w:r>
    </w:p>
    <w:p>
      <w:pPr>
        <w:pStyle w:val="Compact"/>
        <w:numPr>
          <w:ilvl w:val="0"/>
          <w:numId w:val="1003"/>
        </w:numPr>
      </w:pPr>
      <w:r>
        <w:t xml:space="preserve">Table 4 and Figure 5 present the same results. Including both is unnecessary and redundant. I suggest retaining only the table.</w:t>
      </w:r>
    </w:p>
    <w:p>
      <w:pPr>
        <w:pStyle w:val="FirstParagraph"/>
      </w:pPr>
      <w:r>
        <w:rPr>
          <w:b/>
          <w:bCs/>
        </w:rPr>
        <w:t xml:space="preserve">Response</w:t>
      </w:r>
    </w:p>
    <w:p>
      <w:pPr>
        <w:pStyle w:val="BlueResponse"/>
      </w:pPr>
      <w:r>
        <w:t xml:space="preserve">Redundancy between Table 4 and Figure 5: We agree with this suggestion. Figure 5 has been removed to avoid redundancy, and Table 4 has been retained as the primary presentation of these results.</w:t>
      </w:r>
    </w:p>
    <w:p>
      <w:pPr>
        <w:pStyle w:val="BodyText"/>
      </w:pPr>
      <w:r>
        <w:rPr>
          <w:b/>
          <w:bCs/>
        </w:rPr>
        <w:t xml:space="preserve">Comment 3.3</w:t>
      </w:r>
    </w:p>
    <w:p>
      <w:pPr>
        <w:pStyle w:val="Compact"/>
        <w:numPr>
          <w:ilvl w:val="0"/>
          <w:numId w:val="1004"/>
        </w:numPr>
      </w:pPr>
      <w:r>
        <w:t xml:space="preserve">Table 3 reports 86 observations (Add:33; Remove: 5; NonCycl: 48), whereas Table 4 reports 76 observations (Add:33; Remove: 5; Pooled: 38). Is this difference expected? Please clarify.</w:t>
      </w:r>
    </w:p>
    <w:p>
      <w:pPr>
        <w:pStyle w:val="FirstParagraph"/>
      </w:pPr>
      <w:r>
        <w:rPr>
          <w:b/>
          <w:bCs/>
        </w:rPr>
        <w:t xml:space="preserve">Response</w:t>
      </w:r>
    </w:p>
    <w:p>
      <w:pPr>
        <w:pStyle w:val="BlueResponse"/>
      </w:pPr>
      <w:r>
        <w:t xml:space="preserve">Yes, this difference is expected. Table 3 reports all usable validation observations, including non-cycling (NONCYC) control sites, whereas Table 4 reports classification metrics based on change events only (additions and removals). In Table 4, the “Pooled” category combines addition and removal observations (33 + 5 = 38), and NONCYC sites are not included as observations but contribute to the estimation of false negatives.</w:t>
      </w:r>
      <w:r>
        <w:t xml:space="preserve"> </w:t>
      </w:r>
      <w:r>
        <w:t xml:space="preserve">To improve clarity, we have added a brief clarification to the note of Table 4 indicating that only change events are included, while NONCYC sites are used to identify false negatives and are not counted as observations.</w:t>
      </w:r>
    </w:p>
    <w:p>
      <w:pPr>
        <w:pStyle w:val="BodyText"/>
      </w:pPr>
      <w:r>
        <w:rPr>
          <w:b/>
          <w:bCs/>
        </w:rPr>
        <w:t xml:space="preserve">Comment 3.4</w:t>
      </w:r>
    </w:p>
    <w:p>
      <w:pPr>
        <w:pStyle w:val="Compact"/>
        <w:numPr>
          <w:ilvl w:val="0"/>
          <w:numId w:val="1005"/>
        </w:numPr>
      </w:pPr>
      <w:r>
        <w:t xml:space="preserve">The study is based on 86 Google Street View (GSV) locations assessed at two time points. This limitation should be discussed in Section 5 entitled Generalisability and Limitations.</w:t>
      </w:r>
    </w:p>
    <w:p>
      <w:pPr>
        <w:pStyle w:val="FirstParagraph"/>
      </w:pPr>
      <w:r>
        <w:rPr>
          <w:b/>
          <w:bCs/>
        </w:rPr>
        <w:t xml:space="preserve">Response</w:t>
      </w:r>
    </w:p>
    <w:p>
      <w:pPr>
        <w:pStyle w:val="BlueResponse"/>
      </w:pPr>
      <w:r>
        <w:t xml:space="preserve">We agree and have clarified this point in Section 5 (Generalisability and limitations). We now explicitly state that the overall validation sample is relatively small (n = 86 usable sites), and note that this is primarily driven by the availability of locations with suitable GSV imagery at both time points. We also highlight that this constraint particularly affects removal-specific estimates, which are based on a small number of observations and therefore exhibit wider confidence intervals.</w:t>
      </w:r>
    </w:p>
    <w:p>
      <w:pPr>
        <w:pStyle w:val="BodyText"/>
      </w:pPr>
      <w:r>
        <w:rPr>
          <w:b/>
          <w:bCs/>
        </w:rPr>
        <w:t xml:space="preserve">Comment 3.5</w:t>
      </w:r>
    </w:p>
    <w:p>
      <w:pPr>
        <w:pStyle w:val="Compact"/>
        <w:numPr>
          <w:ilvl w:val="0"/>
          <w:numId w:val="1006"/>
        </w:numPr>
      </w:pPr>
      <w:r>
        <w:t xml:space="preserve">It would be useful to discuss whether this methodological approach would remain feasible if applied to a much larger number of locations (e.g., 1,000 or 10,000 sites). The limitations related to Google Street View licensing terms are not discussed, including the prohibition of web scraping and the potential need to rely on the Google Street View API, along with possible cost implications.</w:t>
      </w:r>
    </w:p>
    <w:p>
      <w:pPr>
        <w:pStyle w:val="FirstParagraph"/>
      </w:pPr>
      <w:r>
        <w:rPr>
          <w:b/>
          <w:bCs/>
        </w:rPr>
        <w:t xml:space="preserve">Response</w:t>
      </w:r>
    </w:p>
    <w:p>
      <w:pPr>
        <w:pStyle w:val="BlueResponse"/>
      </w:pPr>
      <w:r>
        <w:t xml:space="preserve">We have expanded Section 5 (Generalisability and limitations) to discuss the scalability of the proposed workflow. While the approach is conceptually scalable, applying it to much larger samples would face practical constraints. In particular, the validation relies on manual inspection of historical Google Street View imagery, which is time-intensive to scale. We also note that currently available programmatic access options do not provide equivalent access to historical Street View imagery across time points, which limits the feasibility of fully automated large-scale validation. These considerations are now acknowledged in the revised manuscript.</w:t>
      </w:r>
    </w:p>
    <w:bookmarkEnd w:id="16"/>
    <w:bookmarkStart w:id="17" w:name="reviewer-4"/>
    <w:p>
      <w:pPr>
        <w:pStyle w:val="Heading2"/>
      </w:pPr>
      <w:r>
        <w:t xml:space="preserve">Reviewer #4</w:t>
      </w:r>
    </w:p>
    <w:p>
      <w:pPr>
        <w:pStyle w:val="FirstParagraph"/>
      </w:pPr>
      <w:r>
        <w:rPr>
          <w:b/>
          <w:bCs/>
        </w:rPr>
        <w:t xml:space="preserve">General comments</w:t>
      </w:r>
    </w:p>
    <w:p>
      <w:pPr>
        <w:pStyle w:val="BodyText"/>
      </w:pPr>
      <w:r>
        <w:t xml:space="preserve">This paper addresses an important question: the reliability of OSM for detecting longitudinal cycling infrastructure change. The integration of OSM snapshot differencing with GSV-based validation is a clear strength, and the finding that additions are more reliable than removals is relevant. However, in its current form, the manuscript reads more like a technical report than a fully developed journal article, and several aspects of the validation design and interpretation require further clarification.</w:t>
      </w:r>
    </w:p>
    <w:p>
      <w:pPr>
        <w:pStyle w:val="BodyText"/>
      </w:pPr>
      <w:r>
        <w:t xml:space="preserve">In particular, the study raises a classic</w:t>
      </w:r>
      <w:r>
        <w:t xml:space="preserve"> </w:t>
      </w:r>
      <w:r>
        <w:t xml:space="preserve">“proxy vs. proxy”</w:t>
      </w:r>
      <w:r>
        <w:t xml:space="preserve"> </w:t>
      </w:r>
      <w:r>
        <w:t xml:space="preserve">issue in urban informatics, where one imperfect data source is used to validate another. While GSV provides a practical reference, it is itself a temporally and spatially uneven proxy. As such, it remains unclear to what extent the reported validation results reflect true agreement with ground truth, as opposed to inconsistencies between two imperfect datasets. This limitation should be more explicitly acknowledged and addressed in the manuscript.</w:t>
      </w:r>
    </w:p>
    <w:p>
      <w:pPr>
        <w:pStyle w:val="BodyText"/>
      </w:pPr>
      <w:r>
        <w:rPr>
          <w:b/>
          <w:bCs/>
        </w:rPr>
        <w:t xml:space="preserve">Response</w:t>
      </w:r>
    </w:p>
    <w:p>
      <w:pPr>
        <w:pStyle w:val="BodyText"/>
      </w:pPr>
      <w:r>
        <w:t xml:space="preserve">Here are my detailed comments:</w:t>
      </w:r>
    </w:p>
    <w:p>
      <w:pPr>
        <w:pStyle w:val="BodyText"/>
      </w:pPr>
      <w:r>
        <w:rPr>
          <w:b/>
          <w:bCs/>
        </w:rPr>
        <w:t xml:space="preserve">Comment 4.1</w:t>
      </w:r>
    </w:p>
    <w:p>
      <w:pPr>
        <w:pStyle w:val="Compact"/>
        <w:numPr>
          <w:ilvl w:val="0"/>
          <w:numId w:val="1007"/>
        </w:numPr>
      </w:pPr>
      <w:r>
        <w:t xml:space="preserve">In Section 2.3.2 and Section 5, the manuscript relies on GSV imagery as a validation reference but does not sufficiently address its limitations. GSV coverage is uneven across space and time, and the use of fallback years (e.g., 2014 and 2022) introduces temporal mismatch with the OSM snapshots. In addition, GSV is implicitly treated as ground truth, although visibility and interpretability of cycling infrastructure vary by type. The authors should clarify how these issues may bias the reported precision and recall estimates and whether the set of usable validation points is systematically skewed. The authors should also look at few papers available that have discussed the coverage and biases of the GSV image.</w:t>
      </w:r>
    </w:p>
    <w:p>
      <w:pPr>
        <w:pStyle w:val="FirstParagraph"/>
      </w:pPr>
      <w:r>
        <w:rPr>
          <w:b/>
          <w:bCs/>
        </w:rPr>
        <w:t xml:space="preserve">Response</w:t>
      </w:r>
    </w:p>
    <w:p>
      <w:pPr>
        <w:pStyle w:val="BlueResponse"/>
      </w:pPr>
      <w:r>
        <w:t xml:space="preserve">We agree that GSV should not be interpreted as a perfect ground truth, but rather as a practical observational reference with its own limitations. We have clarified this distinction in Section 5 (Generalisability and limitations). Specifically, we now acknowledge that GSV coverage is uneven across space and time, and that the use of fallback years (e.g., 2014 and 2022) may introduce temporal mismatches with the OSM reference snapshots. We also note that the visibility and interpretability of cycling infrastructure vary by type, which may affect the reliability of validation for certain categories.</w:t>
      </w:r>
      <w:r>
        <w:t xml:space="preserve"> </w:t>
      </w:r>
      <w:r>
        <w:t xml:space="preserve">We further clarify how these factors may influence the reported validation metrics. In particular, the requirement for usable imagery at both time points may introduce selection bias, favouring locations with better GSV coverage. Accordingly, the reported precision and recall should be interpreted as agreement conditional on observable locations, rather than as a direct measure of absolute ground truth accuracy.</w:t>
      </w:r>
    </w:p>
    <w:p>
      <w:pPr>
        <w:pStyle w:val="BodyText"/>
      </w:pPr>
      <w:r>
        <w:rPr>
          <w:b/>
          <w:bCs/>
        </w:rPr>
        <w:t xml:space="preserve">Comment 4.2</w:t>
      </w:r>
    </w:p>
    <w:p>
      <w:pPr>
        <w:pStyle w:val="Compact"/>
        <w:numPr>
          <w:ilvl w:val="0"/>
          <w:numId w:val="1008"/>
        </w:numPr>
      </w:pPr>
      <w:r>
        <w:t xml:space="preserve">In Section 2.3.1, the authors use a specific set of OSM tags to define cycling infrastructure, focusing on dedicated cycleways and certain lane/track attributes. This may exclude other forms of infrastructure (e.g., shared lanes) and could affect completeness. The authors should clarify how this definition influences the results and discusses implications for applying the framework in other contexts.</w:t>
      </w:r>
    </w:p>
    <w:p>
      <w:pPr>
        <w:pStyle w:val="FirstParagraph"/>
      </w:pPr>
      <w:r>
        <w:rPr>
          <w:b/>
          <w:bCs/>
        </w:rPr>
        <w:t xml:space="preserve">Response</w:t>
      </w:r>
    </w:p>
    <w:p>
      <w:pPr>
        <w:pStyle w:val="BlueResponse"/>
      </w:pPr>
      <w:r>
        <w:t xml:space="preserve">We agree that the definition of cycling infrastructure based on a specific subset of OSM tags involves trade-offs between specificity and completeness. In Section 2.3.1, we focus on dedicated cycling infrastructure (e.g., segregated cycleways and clearly defined lane/track attributes) to ensure a consistent and interpretable definition of change across time. We acknowledge that this approach may exclude other forms of infrastructure, such as shared lanes or less consistently tagged facilities. We have clarified this point in the revised manuscript and now explicitly discuss how the chosen definition may lead to conservative estimates of infrastructure presence and change. We also note that the implications of tag selection may vary across contexts, depending on local mapping practices and tagging conventions. This is now further discussed in Section 5 (Generalisability and limitations), where we highlight how differences in tagging practices across cities and over time may affect the transferability of the framework.</w:t>
      </w:r>
    </w:p>
    <w:p>
      <w:pPr>
        <w:pStyle w:val="BodyText"/>
      </w:pPr>
      <w:r>
        <w:rPr>
          <w:b/>
          <w:bCs/>
        </w:rPr>
        <w:t xml:space="preserve">Comment 4.3</w:t>
      </w:r>
    </w:p>
    <w:p>
      <w:pPr>
        <w:pStyle w:val="Compact"/>
        <w:numPr>
          <w:ilvl w:val="0"/>
          <w:numId w:val="1009"/>
        </w:numPr>
      </w:pPr>
      <w:r>
        <w:t xml:space="preserve">In Section 2.3.1 and Section 2.3.2, false negatives are identified using a NONCYC control pool that is explicitly filtered to exclude areas near cycling infrastructure. This design likely reduces the probability of detecting missed changes and may inflate recall estimates. The very high reported recall values (0.96-1.00) should therefore be interpreted with caution. The authors should clarify the assumptions underlying this design and discuss how it may affect the validity of recall as a performance metric.</w:t>
      </w:r>
    </w:p>
    <w:p>
      <w:pPr>
        <w:pStyle w:val="FirstParagraph"/>
      </w:pPr>
      <w:r>
        <w:rPr>
          <w:b/>
          <w:bCs/>
        </w:rPr>
        <w:t xml:space="preserve">Response</w:t>
      </w:r>
    </w:p>
    <w:p>
      <w:pPr>
        <w:pStyle w:val="BlueResponse"/>
      </w:pPr>
      <w:r>
        <w:t xml:space="preserve">We agree that the construction of the NONCYC control pool has implications for the interpretation of recall. In our workflow, the NONCYC pool is generated from general street segments after excluding or cutting portions located within the tolerance buffer around cycling infrastructure in either reference year. This design was intended to create a clear non-cycling comparison pool and to avoid sampling locations immediately adjacent to known cycling infrastructure, where visual interpretation and OSM representation may be ambiguous. However, this choice may reduce the likelihood of identifying some false negatives, particularly missed infrastructure located near already mapped cycling facilities. As a result, the reported recall values should be interpreted as conditional on the sampling design, rather than as a comprehensive estimate of all missed changes across the full street network. We have clarified this assumption and its implications in Section 5 (Generalisability and limitations).</w:t>
      </w:r>
    </w:p>
    <w:p>
      <w:pPr>
        <w:pStyle w:val="BodyText"/>
      </w:pPr>
      <w:r>
        <w:rPr>
          <w:b/>
          <w:bCs/>
        </w:rPr>
        <w:t xml:space="preserve">Comment 4.4</w:t>
      </w:r>
    </w:p>
    <w:p>
      <w:pPr>
        <w:pStyle w:val="Compact"/>
        <w:numPr>
          <w:ilvl w:val="0"/>
          <w:numId w:val="1010"/>
        </w:numPr>
      </w:pPr>
      <w:r>
        <w:t xml:space="preserve">The workflow depends on several parameter choices, including buffer distances, proximity thresholds, and minimum segment lengths (Section 2.3.1). While these are justified conceptually, the manuscript does not assess how sensitive the results are to these values. Given the claim of a transferable framework, the authors should either provide a sensitivity analysis or further justify the robustness of these parameter choices.</w:t>
      </w:r>
    </w:p>
    <w:p>
      <w:pPr>
        <w:pStyle w:val="FirstParagraph"/>
      </w:pPr>
      <w:r>
        <w:rPr>
          <w:b/>
          <w:bCs/>
        </w:rPr>
        <w:t xml:space="preserve">Response</w:t>
      </w:r>
    </w:p>
    <w:p>
      <w:pPr>
        <w:pStyle w:val="BlueResponse"/>
      </w:pPr>
      <w:r>
        <w:t xml:space="preserve">Sensitivity to parameter choices: Consider whether conduct or not sensitivity analyses.</w:t>
      </w:r>
    </w:p>
    <w:p>
      <w:pPr>
        <w:pStyle w:val="BodyText"/>
      </w:pPr>
      <w:r>
        <w:rPr>
          <w:b/>
          <w:bCs/>
        </w:rPr>
        <w:t xml:space="preserve">Comment 4.5</w:t>
      </w:r>
    </w:p>
    <w:p>
      <w:pPr>
        <w:pStyle w:val="Compact"/>
        <w:numPr>
          <w:ilvl w:val="0"/>
          <w:numId w:val="1011"/>
        </w:numPr>
      </w:pPr>
      <w:r>
        <w:t xml:space="preserve">In Section 2.3.2 and also Table 3, although the sampling strategy is described as stratified, the actual implementation involves fixed numbers of samples per tract and is constrained by GSV availability. This leads to imbalances across classes (e.g., very few removals) and potential selection bias due to missing imagery (only 82% usable points). The authors should clarify whether the resulting validation set can be considered representative of the full set of detected changes.</w:t>
      </w:r>
    </w:p>
    <w:p>
      <w:pPr>
        <w:pStyle w:val="FirstParagraph"/>
      </w:pPr>
      <w:r>
        <w:rPr>
          <w:b/>
          <w:bCs/>
        </w:rPr>
        <w:t xml:space="preserve">Response</w:t>
      </w:r>
    </w:p>
    <w:p>
      <w:pPr>
        <w:pStyle w:val="BlueResponse"/>
      </w:pPr>
      <w:r>
        <w:t xml:space="preserve">We thank the reviewer for this insightful comment. We agree that, while the sampling strategy is described as stratified, its implementation is constrained by both the availability of OSM-detected change segments within each tract and the availability of usable GSV imagery. As a result, the final validation sample reflects a structured allocation across tracts rather than a strictly proportional or statistically representative sample of all detected changes. We acknowledge that this leads to imbalances across classes, particularly the limited number of removal cases, and that the requirement for usable imagery at both time points results in a reduced set of analysable observations. These constraints may introduce selection bias, favouring locations with better GSV coverage. We have clarified these points in the revised manuscript and now explicitly state that the validation sample should be interpreted as a feasibility-constrained stratified sample, rather than a fully representative subset of all detected changes. Accordingly, the reported metrics reflect performance within the sampled validation set and should not be interpreted as population-level estimates for the full set of OSM-detected changes.</w:t>
      </w:r>
    </w:p>
    <w:p>
      <w:pPr>
        <w:pStyle w:val="BodyText"/>
      </w:pPr>
      <w:r>
        <w:rPr>
          <w:b/>
          <w:bCs/>
        </w:rPr>
        <w:t xml:space="preserve">Comment 4.6</w:t>
      </w:r>
    </w:p>
    <w:p>
      <w:pPr>
        <w:pStyle w:val="Compact"/>
        <w:numPr>
          <w:ilvl w:val="0"/>
          <w:numId w:val="1012"/>
        </w:numPr>
      </w:pPr>
      <w:r>
        <w:t xml:space="preserve">The conclusions regarding removal detection are based on only five usable cases (Table 4), which is a very small sample. While this limitation is acknowledged, the low precision of removals is emphasized throughout the manuscript, including in the Abstract and Discussion. Given the wide uncertainty associated with such a small sample, the authors should moderate these claims or provide a stronger justification for their interpretation.</w:t>
      </w:r>
    </w:p>
    <w:p>
      <w:pPr>
        <w:pStyle w:val="FirstParagraph"/>
      </w:pPr>
      <w:r>
        <w:rPr>
          <w:b/>
          <w:bCs/>
        </w:rPr>
        <w:t xml:space="preserve">Response</w:t>
      </w:r>
    </w:p>
    <w:p>
      <w:pPr>
        <w:pStyle w:val="BlueResponse"/>
      </w:pPr>
      <w:r>
        <w:t xml:space="preserve">Removal detection and small sample: We agree that the conclusions regarding removal detection are based on a very small number of usable cases (n = 5), which results in substantial uncertainty. In the revised manuscript, we have moderated the interpretation of removal-related results and now emphasise that these findings should be considered indicative rather than definitive. While the observed low precision suggests potential challenges in identifying removals from OSM data, we acknowledge that the limited sample size precludes strong generalisation. We have revised the Abstract and Discussion accordingly to better reflect this uncertainty and to avoid overemphasising conclusions based on a small number of observations.</w:t>
      </w:r>
    </w:p>
    <w:p>
      <w:pPr>
        <w:pStyle w:val="BodyText"/>
      </w:pPr>
      <w:r>
        <w:rPr>
          <w:b/>
          <w:bCs/>
        </w:rPr>
        <w:t xml:space="preserve">Comment 4.7</w:t>
      </w:r>
    </w:p>
    <w:p>
      <w:pPr>
        <w:pStyle w:val="Compact"/>
        <w:numPr>
          <w:ilvl w:val="0"/>
          <w:numId w:val="1013"/>
        </w:numPr>
      </w:pPr>
      <w:r>
        <w:t xml:space="preserve">The manuscript emphasizes a</w:t>
      </w:r>
      <w:r>
        <w:t xml:space="preserve"> </w:t>
      </w:r>
      <w:r>
        <w:t xml:space="preserve">“reproducible”</w:t>
      </w:r>
      <w:r>
        <w:t xml:space="preserve"> </w:t>
      </w:r>
      <w:r>
        <w:t xml:space="preserve">and</w:t>
      </w:r>
      <w:r>
        <w:t xml:space="preserve"> </w:t>
      </w:r>
      <w:r>
        <w:t xml:space="preserve">“transferable”</w:t>
      </w:r>
      <w:r>
        <w:t xml:space="preserve"> </w:t>
      </w:r>
      <w:r>
        <w:t xml:space="preserve">framework; however, the validation step relies on manual coding of GSV imagery and depends on external data availability. As such, reproducibility is only partial, and transferability may vary across cities with different OSM data quality and GSV coverage. The authors should refine these claims accordingly.</w:t>
      </w:r>
    </w:p>
    <w:p>
      <w:pPr>
        <w:pStyle w:val="FirstParagraph"/>
      </w:pPr>
      <w:r>
        <w:rPr>
          <w:b/>
          <w:bCs/>
        </w:rPr>
        <w:t xml:space="preserve">Response</w:t>
      </w:r>
    </w:p>
    <w:p>
      <w:pPr>
        <w:pStyle w:val="BlueResponse"/>
      </w:pPr>
      <w:r>
        <w:t xml:space="preserve">We agree that the reproducibility and transferability of the workflow are subject to certain constraints. While the data processing and change-detection steps are fully reproducible using open-source tools and documented procedures, the validation component relies on manual interpretation of GSV imagery and on the availability of suitable imagery across time and space. We have clarified this distinction in the revised manuscript and now emphasise that the workflow is reproducible in its computational components, while the validation step requires manual implementation following a standardised and documented protocol. We have also refined the framing throughout the manuscript to reflect this distinction more clearly. In addition, we note that transferability depends on local data conditions, particularly OSM data quality and the availability of historical street-level imagery. These points are now explicitly discussed in Section 5 (Generalisability and limitations).</w:t>
      </w:r>
    </w:p>
    <w:p>
      <w:pPr>
        <w:pStyle w:val="BodyText"/>
      </w:pPr>
      <w:r>
        <w:rPr>
          <w:b/>
          <w:bCs/>
        </w:rPr>
        <w:t xml:space="preserve">Comment 4.8</w:t>
      </w:r>
    </w:p>
    <w:p>
      <w:pPr>
        <w:pStyle w:val="Compact"/>
        <w:numPr>
          <w:ilvl w:val="0"/>
          <w:numId w:val="1014"/>
        </w:numPr>
      </w:pPr>
      <w:r>
        <w:t xml:space="preserve">Minor issues.</w:t>
      </w:r>
    </w:p>
    <w:p>
      <w:pPr>
        <w:numPr>
          <w:ilvl w:val="0"/>
          <w:numId w:val="1015"/>
        </w:numPr>
      </w:pPr>
      <w:r>
        <w:t xml:space="preserve">There are minor inconsistencies in terminology (e.g., cycling infrastructure vs. cycleway) and some formatting/spacing issues throughout the manuscript that should be corrected.</w:t>
      </w:r>
    </w:p>
    <w:p>
      <w:pPr>
        <w:numPr>
          <w:ilvl w:val="0"/>
          <w:numId w:val="1015"/>
        </w:numPr>
      </w:pPr>
      <w:r>
        <w:t xml:space="preserve">In addition, the structure of the Methods section could be improved for clarity. First, although the workflow is described as a five-step process, these steps are split across two subsections (Sections 2.3.1 and 2.3.2), which makes the overall logic somewhat difficult to follow. Second, the relationship between the two subsections (OSM differencing vs. GSV validation) is not clearly introduced at the beginning of the Methods section. Third, the ordering of steps across subsections requires the reader to move back and forth, which reduces readability.</w:t>
      </w:r>
    </w:p>
    <w:p>
      <w:pPr>
        <w:pStyle w:val="FirstParagraph"/>
      </w:pPr>
      <w:r>
        <w:rPr>
          <w:b/>
          <w:bCs/>
        </w:rPr>
        <w:t xml:space="preserve">Response:</w:t>
      </w:r>
    </w:p>
    <w:p>
      <w:pPr>
        <w:pStyle w:val="BlueResponse"/>
      </w:pPr>
      <w:r>
        <w:t xml:space="preserve">We have carefully revised the manuscript to ensure consistent use of terminology throughout (in particular, the use of “cycling infrastructure” as the main term). We also added a clarifying definition in Section 2.3.1 to explicitly state how this term is used. Minor formatting and spacing issues have been corrected.</w:t>
      </w:r>
      <w:r>
        <w:t xml:space="preserve"> </w:t>
      </w:r>
      <w:r>
        <w:t xml:space="preserve">We have also improved the clarity of the Methods section by explicitly introducing the two main components of the workflow (OSM differencing and GSV validation) at the beginning of Section 2.3, ensuring consistent step numbering, and adding linking text to clarify how the five steps are organised across subsections.</w:t>
      </w:r>
    </w:p>
    <w:bookmarkEnd w:id="17"/>
    <w:sectPr>
      <w:footerReference r:id="rId3" w:type="even"/>
      <w:footerReference r:id="rId4" w:type="default"/>
      <w:footerReference r:id="rId5" w:type="first"/>
      <w:footnotePr>
        <w:numFmt w:val="decimal"/>
      </w:footnotePr>
      <w:type w:val="nextPage"/>
      <w:pgSz w:h="15840" w:w="12240"/>
      <w:pgMar w:bottom="2203"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1F4E79"/>
      <w:sz w:val="36"/>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1F4E79"/>
      <w:sz w:val="30"/>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1F4E79"/>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val="1F4E79"/>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val="1F4E79"/>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ohit Devanagari"/>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color w:val="000000"/>
      <w:spacing w:val="-10"/>
      <w:kern w:val="2"/>
      <w:sz w:val="40"/>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4"/>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Authordetails" w:type="paragraph">
    <w:name w:val="Author details"/>
    <w:basedOn w:val="BodyText"/>
    <w:qFormat/>
    <w:pPr/>
    <w:rPr/>
  </w:style>
  <w:style w:styleId="BlueResponse" w:type="paragraph">
    <w:name w:val="BlueResponse"/>
    <w:basedOn w:val="BodyText"/>
    <w:uiPriority w:val="1"/>
    <w:qFormat/>
    <w:pPr>
      <w:spacing w:after="120" w:before="180"/>
    </w:pPr>
    <w:rPr>
      <w:color w:val="2F5597"/>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3" Target="footer1.xml" Type="http://schemas.openxmlformats.org/officeDocument/2006/relationships/footer" /><Relationship Id="rId4" Target="footer2.xml" Type="http://schemas.openxmlformats.org/officeDocument/2006/relationships/footer" /><Relationship Id="rId5" Target="footer3.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1</Pages>
  <Words>54</Words>
  <Characters>267</Characters>
  <CharactersWithSpaces>352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Reviewers’ Comments</dc:title>
  <dc:creator/>
  <cp:keywords/>
  <dcterms:created xsi:type="dcterms:W3CDTF">2026-04-29T18:06:13Z</dcterms:created>
  <dcterms:modified xsi:type="dcterms:W3CDTF">2026-04-29T18:06:13Z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visual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