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0000"/>
        </w:rPr>
        <w:t>Chapter Three: Research Methodology</w:t>
      </w:r>
    </w:p>
    <w:p>
      <w:pPr>
        <w:jc w:val="both"/>
      </w:pPr>
      <w:r>
        <w:rPr>
          <w:rFonts w:ascii="Times New Roman" w:hAnsi="Times New Roman"/>
          <w:b/>
          <w:sz w:val="24"/>
        </w:rPr>
        <w:t>Topic:</w:t>
      </w:r>
      <w:r>
        <w:rPr>
          <w:rFonts w:ascii="Times New Roman" w:hAnsi="Times New Roman"/>
          <w:sz w:val="24"/>
        </w:rPr>
        <w:t xml:space="preserve"> THE ROLE OF MODERN MILITARY TECHNOLOGY IN STRENGTHENING SOUTH SUDAN'S DEFENSE CAPABILITIES</w:t>
      </w:r>
    </w:p>
    <w:p>
      <w:pPr>
        <w:pStyle w:val="Heading2"/>
      </w:pPr>
      <w:r>
        <w:rPr>
          <w:b/>
          <w:color w:val="000000"/>
        </w:rPr>
        <w:t>3.1 Introduction</w:t>
      </w:r>
    </w:p>
    <w:p>
      <w:pPr>
        <w:jc w:val="both"/>
      </w:pPr>
      <w:r>
        <w:rPr>
          <w:rFonts w:ascii="Times New Roman" w:hAnsi="Times New Roman"/>
          <w:sz w:val="24"/>
        </w:rPr>
        <w:t>The core research problem this study addresses is the critical gap in understanding how, and to what extent, the integration of modern military technology can enhance the defense capabilities of the South Sudan People’s Defence Forces (SSPDF). This investigation is driven by the need to analyze the technological, strategic, and operational dimensions of this integration within a context marked by complex security challenges. The study is guided by specific research objectives established in Chapter One, which aim to identify key modern military technologies, assess their impact on operational effectiveness, and evaluate the associated implementation challenges and strategic implications for South Sudan’s national security.</w:t>
      </w:r>
    </w:p>
    <w:p>
      <w:pPr>
        <w:jc w:val="both"/>
      </w:pPr>
      <w:r>
        <w:rPr>
          <w:rFonts w:ascii="Times New Roman" w:hAnsi="Times New Roman"/>
          <w:sz w:val="24"/>
        </w:rPr>
        <w:t>This chapter, therefore, presents the comprehensive methodological framework and systematic procedures employed to investigate this problem. It details the research design and data collection strategies that will be utilized to gather empirical evidence necessary for answering the research questions. Given the scope and significance of a doctoral inquiry, the chapter emphasizes the foundational importance of methodological rigor, transparency, and appropriateness in ensuring the validity, reliability, and scholarly contribution of the study’s findings.</w:t>
      </w:r>
    </w:p>
    <w:p>
      <w:pPr>
        <w:jc w:val="both"/>
      </w:pPr>
      <w:r>
        <w:rPr>
          <w:rFonts w:ascii="Times New Roman" w:hAnsi="Times New Roman"/>
          <w:sz w:val="24"/>
        </w:rPr>
        <w:t>To this end, the chapter is structured to provide a logical and detailed exposition of the research methodology. It begins by outlining the underlying research philosophy that informs the study’s approach to knowledge. Subsequently, it explicates the chosen research design, defines the target population, and details the sampling design and determined sample size. The chapter then describes the data collection instruments, addresses issues of validity and reliability, and outlines the step-by-step data collection procedures. Finally, it presents the planned data analysis procedures and concludes with a discussion of the ethical considerations upheld throughout the research process.</w:t>
      </w:r>
    </w:p>
    <w:p>
      <w:pPr>
        <w:pStyle w:val="Heading2"/>
      </w:pPr>
      <w:r>
        <w:rPr>
          <w:b/>
          <w:color w:val="000000"/>
        </w:rPr>
        <w:t>3.2 Study Area</w:t>
      </w:r>
    </w:p>
    <w:p>
      <w:pPr>
        <w:jc w:val="both"/>
      </w:pPr>
      <w:r>
        <w:rPr>
          <w:rFonts w:ascii="Times New Roman" w:hAnsi="Times New Roman"/>
          <w:sz w:val="24"/>
        </w:rPr>
        <w:t xml:space="preserve">South Sudan’s strategic location in East-Central Africa, characterized by its vast territory and porous borders, presents a complex defense environment that necessitates modern technological solutions </w:t>
      </w:r>
      <w:hyperlink r:id="rId9">
        <w:r>
          <w:rPr>
            <w:rFonts w:ascii="Times New Roman" w:hAnsi="Times New Roman"/>
            <w:sz w:val="24"/>
            <w:color w:val="000000"/>
          </w:rPr>
          <w:t>(Brosché &amp; Höglund, 2016; Brosché et al., 2017; Brosché &amp; Elfversson, 2021)</w:t>
        </w:r>
      </w:hyperlink>
      <w:r>
        <w:rPr>
          <w:rFonts w:ascii="Times New Roman" w:hAnsi="Times New Roman"/>
          <w:sz w:val="24"/>
        </w:rPr>
        <w:t xml:space="preserve">. The nation shares borders with six countries, several of which have experienced instability, thereby creating regional security challenges that directly impact its sovereignty </w:t>
      </w:r>
      <w:hyperlink r:id="rId9">
        <w:r>
          <w:rPr>
            <w:rFonts w:ascii="Times New Roman" w:hAnsi="Times New Roman"/>
            <w:sz w:val="24"/>
            <w:color w:val="000000"/>
          </w:rPr>
          <w:t>(Brosché &amp; Elfversson, 2021; Brosché &amp; Höglund, 2016; Brosché et al., 2017)</w:t>
        </w:r>
      </w:hyperlink>
      <w:r>
        <w:rPr>
          <w:rFonts w:ascii="Times New Roman" w:hAnsi="Times New Roman"/>
          <w:sz w:val="24"/>
        </w:rPr>
        <w:t xml:space="preserve">. Internally, the country’s geography, which includes the Sudd swamp and expansive savannahs, complicates traditional ground-based patrols and surveillance, creating operational gaps that adversaries can exploit </w:t>
      </w:r>
      <w:hyperlink r:id="rId9">
        <w:r>
          <w:rPr>
            <w:rFonts w:ascii="Times New Roman" w:hAnsi="Times New Roman"/>
            <w:sz w:val="24"/>
            <w:color w:val="000000"/>
          </w:rPr>
          <w:t>(Brosché et al., 2017; Brosché &amp; Höglund, 2016; Brosché &amp; Elfversson, 2021)</w:t>
        </w:r>
      </w:hyperlink>
      <w:r>
        <w:rPr>
          <w:rFonts w:ascii="Times New Roman" w:hAnsi="Times New Roman"/>
          <w:sz w:val="24"/>
        </w:rPr>
        <w:t xml:space="preserve">. This geographical and geopolitical context fundamentally shapes the defense requirements for which modern military technology is not merely an enhancement but a critical operational imperative </w:t>
      </w:r>
      <w:hyperlink r:id="rId9">
        <w:r>
          <w:rPr>
            <w:rFonts w:ascii="Times New Roman" w:hAnsi="Times New Roman"/>
            <w:sz w:val="24"/>
            <w:color w:val="000000"/>
          </w:rPr>
          <w:t>(Brosché &amp; Höglund, 2016; Brosché et al., 2017; Brosché &amp; Elfversson, 2021)</w:t>
        </w:r>
      </w:hyperlink>
      <w:r>
        <w:rPr>
          <w:rFonts w:ascii="Times New Roman" w:hAnsi="Times New Roman"/>
          <w:sz w:val="24"/>
        </w:rPr>
        <w:t>.</w:t>
      </w:r>
    </w:p>
    <w:p>
      <w:pPr>
        <w:jc w:val="both"/>
      </w:pPr>
      <w:r>
        <w:rPr>
          <w:rFonts w:ascii="Times New Roman" w:hAnsi="Times New Roman"/>
          <w:sz w:val="24"/>
        </w:rPr>
        <w:t xml:space="preserve">The historical legacy of prolonged conflict and the 2013-2018 civil war has resulted in a fragmented security sector and a defense force with significant capacity limitations </w:t>
      </w:r>
      <w:hyperlink r:id="rId9">
        <w:r>
          <w:rPr>
            <w:rFonts w:ascii="Times New Roman" w:hAnsi="Times New Roman"/>
            <w:sz w:val="24"/>
            <w:color w:val="000000"/>
          </w:rPr>
          <w:t>(Brosché &amp; Höglund, 2016; Brosché et al., 2017; Brosché &amp; Elfversson, 2021)</w:t>
        </w:r>
      </w:hyperlink>
      <w:r>
        <w:rPr>
          <w:rFonts w:ascii="Times New Roman" w:hAnsi="Times New Roman"/>
          <w:sz w:val="24"/>
        </w:rPr>
        <w:t xml:space="preserve">. These institutional weaknesses are compounded by the persistent threat of intercommunal violence and the proliferation of small arms, which undermine state authority and territorial control </w:t>
      </w:r>
      <w:hyperlink r:id="rId9">
        <w:r>
          <w:rPr>
            <w:rFonts w:ascii="Times New Roman" w:hAnsi="Times New Roman"/>
            <w:sz w:val="24"/>
            <w:color w:val="000000"/>
          </w:rPr>
          <w:t>(Brosché &amp; Elfversson, 2021; Brosché &amp; Höglund, 2016; Brosché et al., 2017)</w:t>
        </w:r>
      </w:hyperlink>
      <w:r>
        <w:rPr>
          <w:rFonts w:ascii="Times New Roman" w:hAnsi="Times New Roman"/>
          <w:sz w:val="24"/>
        </w:rPr>
        <w:t xml:space="preserve">. Consequently, the South Sudanese People’s Defence Forces (SSPDF) often struggle to project power and maintain a consistent security presence across its remote regions, a gap that directly informs the need for technological assets like unmanned aerial vehicles for reconnaissance and secure communication networks for command and control </w:t>
      </w:r>
      <w:hyperlink r:id="rId9">
        <w:r>
          <w:rPr>
            <w:rFonts w:ascii="Times New Roman" w:hAnsi="Times New Roman"/>
            <w:sz w:val="24"/>
            <w:color w:val="000000"/>
          </w:rPr>
          <w:t>(Brosché et al., 2017; Brosché &amp; Höglund, 2016; Brosché &amp; Elfversson, 2021)</w:t>
        </w:r>
      </w:hyperlink>
      <w:r>
        <w:rPr>
          <w:rFonts w:ascii="Times New Roman" w:hAnsi="Times New Roman"/>
          <w:sz w:val="24"/>
        </w:rPr>
        <w:t xml:space="preserve">. This operational context makes the study area a critical test case for how modern technology can compensate for traditional manpower and logistical shortfalls in a post-conflict state </w:t>
      </w:r>
      <w:hyperlink r:id="rId9">
        <w:r>
          <w:rPr>
            <w:rFonts w:ascii="Times New Roman" w:hAnsi="Times New Roman"/>
            <w:sz w:val="24"/>
            <w:color w:val="000000"/>
          </w:rPr>
          <w:t>(Brosché &amp; Höglund, 2016; Brosché et al., 2017; Brosché &amp; Elfversson, 2021)</w:t>
        </w:r>
      </w:hyperlink>
      <w:r>
        <w:rPr>
          <w:rFonts w:ascii="Times New Roman" w:hAnsi="Times New Roman"/>
          <w:sz w:val="24"/>
        </w:rPr>
        <w:t>.</w:t>
      </w:r>
    </w:p>
    <w:p>
      <w:pPr>
        <w:jc w:val="both"/>
      </w:pPr>
      <w:r>
        <w:rPr>
          <w:rFonts w:ascii="Times New Roman" w:hAnsi="Times New Roman"/>
          <w:sz w:val="24"/>
        </w:rPr>
        <w:t xml:space="preserve">Furthermore, the regional arms dynamics and involvement of external state actors in the security affairs of neighboring states add a layer of complexity to South Sudan’s defense calculus </w:t>
      </w:r>
      <w:hyperlink r:id="rId9">
        <w:r>
          <w:rPr>
            <w:rFonts w:ascii="Times New Roman" w:hAnsi="Times New Roman"/>
            <w:sz w:val="24"/>
            <w:color w:val="000000"/>
          </w:rPr>
          <w:t>(Brosché &amp; Elfversson, 2021; Brosché &amp; Höglund, 2016; Brosché et al., 2017)</w:t>
        </w:r>
      </w:hyperlink>
      <w:r>
        <w:rPr>
          <w:rFonts w:ascii="Times New Roman" w:hAnsi="Times New Roman"/>
          <w:sz w:val="24"/>
        </w:rPr>
        <w:t xml:space="preserve">. The potential for cross-border incursions and the influence of regional powers necessitate defense capabilities that can provide early warning and credible deterrence, functions heavily reliant on modern surveillance and intelligence-gathering technologies </w:t>
      </w:r>
      <w:hyperlink r:id="rId9">
        <w:r>
          <w:rPr>
            <w:rFonts w:ascii="Times New Roman" w:hAnsi="Times New Roman"/>
            <w:sz w:val="24"/>
            <w:color w:val="000000"/>
          </w:rPr>
          <w:t>(Brosché et al., 2017; Brosché &amp; Höglund, 2016; Brosché &amp; Elfversson, 2021)</w:t>
        </w:r>
      </w:hyperlink>
      <w:r>
        <w:rPr>
          <w:rFonts w:ascii="Times New Roman" w:hAnsi="Times New Roman"/>
          <w:sz w:val="24"/>
        </w:rPr>
        <w:t xml:space="preserve">. The study area, therefore, extends beyond domestic borders to include the interconnected regional security environment, where technological parity or advantage becomes a key factor in maintaining national sovereignty </w:t>
      </w:r>
      <w:hyperlink r:id="rId9">
        <w:r>
          <w:rPr>
            <w:rFonts w:ascii="Times New Roman" w:hAnsi="Times New Roman"/>
            <w:sz w:val="24"/>
            <w:color w:val="000000"/>
          </w:rPr>
          <w:t>(Brosché &amp; Höglund, 2016; Brosché et al., 2017; Brosché &amp; Elfversson, 2021)</w:t>
        </w:r>
      </w:hyperlink>
      <w:r>
        <w:rPr>
          <w:rFonts w:ascii="Times New Roman" w:hAnsi="Times New Roman"/>
          <w:sz w:val="24"/>
        </w:rPr>
        <w:t xml:space="preserve">. Analyzing South Sudan’s position within this network of regional relations is essential for understanding the full scope of its defense technology requirements </w:t>
      </w:r>
      <w:hyperlink r:id="rId9">
        <w:r>
          <w:rPr>
            <w:rFonts w:ascii="Times New Roman" w:hAnsi="Times New Roman"/>
            <w:sz w:val="24"/>
            <w:color w:val="000000"/>
          </w:rPr>
          <w:t>(Brosché &amp; Elfversson, 2021; Brosché &amp; Höglund, 2016; Brosché et al., 2017)</w:t>
        </w:r>
      </w:hyperlink>
      <w:r>
        <w:rPr>
          <w:rFonts w:ascii="Times New Roman" w:hAnsi="Times New Roman"/>
          <w:sz w:val="24"/>
        </w:rPr>
        <w:t>.</w:t>
      </w:r>
    </w:p>
    <w:p>
      <w:pPr>
        <w:jc w:val="both"/>
      </w:pPr>
      <w:r>
        <w:rPr>
          <w:rFonts w:ascii="Times New Roman" w:hAnsi="Times New Roman"/>
          <w:sz w:val="24"/>
        </w:rPr>
        <w:t xml:space="preserve">In summary, the study area is defined by a confluence of challenging geography, a fragile post-conflict institutional landscape, and a volatile regional neighborhood </w:t>
      </w:r>
      <w:hyperlink r:id="rId9">
        <w:r>
          <w:rPr>
            <w:rFonts w:ascii="Times New Roman" w:hAnsi="Times New Roman"/>
            <w:sz w:val="24"/>
            <w:color w:val="000000"/>
          </w:rPr>
          <w:t>(Brosché et al., 2017; Brosché &amp; Höglund, 2016; Brosché &amp; Elfversson, 2021)</w:t>
        </w:r>
      </w:hyperlink>
      <w:r>
        <w:rPr>
          <w:rFonts w:ascii="Times New Roman" w:hAnsi="Times New Roman"/>
          <w:sz w:val="24"/>
        </w:rPr>
        <w:t xml:space="preserve">. These factors collectively create a defense environment where traditional military approaches are insufficient, thereby establishing a clear imperative for the integration of modern military technology </w:t>
      </w:r>
      <w:hyperlink r:id="rId9">
        <w:r>
          <w:rPr>
            <w:rFonts w:ascii="Times New Roman" w:hAnsi="Times New Roman"/>
            <w:sz w:val="24"/>
            <w:color w:val="000000"/>
          </w:rPr>
          <w:t>(Brosché &amp; Höglund, 2016; Brosché et al., 2017; Brosché &amp; Elfversson, 2021)</w:t>
        </w:r>
      </w:hyperlink>
      <w:r>
        <w:rPr>
          <w:rFonts w:ascii="Times New Roman" w:hAnsi="Times New Roman"/>
          <w:sz w:val="24"/>
        </w:rPr>
        <w:t xml:space="preserve">. The case of South Sudan thus provides a salient context for examining how technological adoption can address specific vulnerabilities related to border control, internal security, and regional deterrence </w:t>
      </w:r>
      <w:hyperlink r:id="rId9">
        <w:r>
          <w:rPr>
            <w:rFonts w:ascii="Times New Roman" w:hAnsi="Times New Roman"/>
            <w:sz w:val="24"/>
            <w:color w:val="000000"/>
          </w:rPr>
          <w:t>(Brosché &amp; Elfversson, 2021; Brosché &amp; Höglund, 2016; Brosché et al., 2017)</w:t>
        </w:r>
      </w:hyperlink>
      <w:r>
        <w:rPr>
          <w:rFonts w:ascii="Times New Roman" w:hAnsi="Times New Roman"/>
          <w:sz w:val="24"/>
        </w:rPr>
        <w:t xml:space="preserve">. This analysis is grounded in the specific security dynamics documented within the region, which frame the central research problem of technological capacity-building for national defense </w:t>
      </w:r>
      <w:hyperlink r:id="rId9">
        <w:r>
          <w:rPr>
            <w:rFonts w:ascii="Times New Roman" w:hAnsi="Times New Roman"/>
            <w:sz w:val="24"/>
            <w:color w:val="000000"/>
          </w:rPr>
          <w:t>(Brosché et al., 2017; Brosché &amp; Höglund, 2016; Brosché &amp; Elfversson, 2021)</w:t>
        </w:r>
      </w:hyperlink>
      <w:r>
        <w:rPr>
          <w:rFonts w:ascii="Times New Roman" w:hAnsi="Times New Roman"/>
          <w:sz w:val="24"/>
        </w:rPr>
        <w:t>.</w:t>
      </w:r>
    </w:p>
    <w:p>
      <w:pPr>
        <w:pStyle w:val="Heading2"/>
      </w:pPr>
      <w:r>
        <w:rPr>
          <w:b/>
          <w:color w:val="000000"/>
        </w:rPr>
        <w:t>3.3 Research Philosophy</w:t>
      </w:r>
    </w:p>
    <w:p>
      <w:pPr>
        <w:jc w:val="both"/>
      </w:pPr>
      <w:r>
        <w:rPr>
          <w:rFonts w:ascii="Times New Roman" w:hAnsi="Times New Roman"/>
          <w:sz w:val="24"/>
        </w:rPr>
        <w:t xml:space="preserve">Research philosophy, as defined by Saunders et al. (2019), constitutes the foundational system of beliefs and assumptions that inform the nature and development of knowledge within a study, shaping all subsequent methodological choices. Its importance lies in providing a coherent rationale for the research design, ensuring alignment between the researcher's worldview and the techniques employed </w:t>
      </w:r>
      <w:hyperlink r:id="rId10">
        <w:r>
          <w:rPr>
            <w:rFonts w:ascii="Times New Roman" w:hAnsi="Times New Roman"/>
            <w:sz w:val="24"/>
            <w:color w:val="000000"/>
          </w:rPr>
          <w:t>(Saunders et al., 2019)</w:t>
        </w:r>
      </w:hyperlink>
      <w:r>
        <w:rPr>
          <w:rFonts w:ascii="Times New Roman" w:hAnsi="Times New Roman"/>
          <w:sz w:val="24"/>
        </w:rPr>
        <w:t xml:space="preserve">. This study is framed within Saunders' Research Onion model, which conceptualizes research design as a multi-layered process, beginning with philosophical assumptions and progressing outward to specific data collection methods </w:t>
      </w:r>
      <w:hyperlink r:id="rId10">
        <w:r>
          <w:rPr>
            <w:rFonts w:ascii="Times New Roman" w:hAnsi="Times New Roman"/>
            <w:sz w:val="24"/>
            <w:color w:val="000000"/>
          </w:rPr>
          <w:t>(Saunders et al., 2019; Easterby-Smith et al., 2018)</w:t>
        </w:r>
      </w:hyperlink>
      <w:r>
        <w:rPr>
          <w:rFonts w:ascii="Times New Roman" w:hAnsi="Times New Roman"/>
          <w:sz w:val="24"/>
        </w:rPr>
        <w:t xml:space="preserve">. A clearly articulated philosophy is therefore essential for methodological rigor and the validity of the findings </w:t>
      </w:r>
      <w:hyperlink r:id="rId11">
        <w:r>
          <w:rPr>
            <w:rFonts w:ascii="Times New Roman" w:hAnsi="Times New Roman"/>
            <w:sz w:val="24"/>
            <w:color w:val="000000"/>
          </w:rPr>
          <w:t>(Creswell &amp; Creswell, 2018)</w:t>
        </w:r>
      </w:hyperlink>
      <w:r>
        <w:rPr>
          <w:rFonts w:ascii="Times New Roman" w:hAnsi="Times New Roman"/>
          <w:sz w:val="24"/>
        </w:rPr>
        <w:t>.</w:t>
      </w:r>
    </w:p>
    <w:p>
      <w:pPr>
        <w:jc w:val="both"/>
      </w:pPr>
      <w:r>
        <w:rPr>
          <w:rFonts w:ascii="Times New Roman" w:hAnsi="Times New Roman"/>
          <w:sz w:val="24"/>
        </w:rPr>
        <w:t xml:space="preserve">Ontologically, this investigation into modern military technology and defense capabilities adopts an objectivist stance. Ontology concerns the nature of reality and existence, with objectivism positing that social reality exists externally to social actors and is independent of their perceptions </w:t>
      </w:r>
      <w:hyperlink r:id="rId10">
        <w:r>
          <w:rPr>
            <w:rFonts w:ascii="Times New Roman" w:hAnsi="Times New Roman"/>
            <w:sz w:val="24"/>
            <w:color w:val="000000"/>
          </w:rPr>
          <w:t>(Saunders et al., 2019)</w:t>
        </w:r>
      </w:hyperlink>
      <w:r>
        <w:rPr>
          <w:rFonts w:ascii="Times New Roman" w:hAnsi="Times New Roman"/>
          <w:sz w:val="24"/>
        </w:rPr>
        <w:t xml:space="preserve">. This position was adopted because the core subjects of the research—technological systems, defense budgets, operational doctrines, and geopolitical threats—are considered to have a concrete, objective existence that can be measured and analyzed </w:t>
      </w:r>
      <w:hyperlink r:id="rId12">
        <w:r>
          <w:rPr>
            <w:rFonts w:ascii="Times New Roman" w:hAnsi="Times New Roman"/>
            <w:sz w:val="24"/>
            <w:color w:val="000000"/>
          </w:rPr>
          <w:t>(Bell et al., 2022)</w:t>
        </w:r>
      </w:hyperlink>
      <w:r>
        <w:rPr>
          <w:rFonts w:ascii="Times New Roman" w:hAnsi="Times New Roman"/>
          <w:sz w:val="24"/>
        </w:rPr>
        <w:t xml:space="preserve">. A constructivist ontology, which views reality as socially constructed through subjective meanings and interactions, was rejected as unsuitable </w:t>
      </w:r>
      <w:hyperlink r:id="rId11">
        <w:r>
          <w:rPr>
            <w:rFonts w:ascii="Times New Roman" w:hAnsi="Times New Roman"/>
            <w:sz w:val="24"/>
            <w:color w:val="000000"/>
          </w:rPr>
          <w:t>(Creswell &amp; Creswell, 2018)</w:t>
        </w:r>
      </w:hyperlink>
      <w:r>
        <w:rPr>
          <w:rFonts w:ascii="Times New Roman" w:hAnsi="Times New Roman"/>
          <w:sz w:val="24"/>
        </w:rPr>
        <w:t>. The study aims to assess tangible capabilities and outcomes rather than explore the nuanced, intersubjective interpretations of different actors regarding the technology.</w:t>
      </w:r>
    </w:p>
    <w:p>
      <w:pPr>
        <w:jc w:val="both"/>
      </w:pPr>
      <w:r>
        <w:rPr>
          <w:rFonts w:ascii="Times New Roman" w:hAnsi="Times New Roman"/>
          <w:sz w:val="24"/>
        </w:rPr>
        <w:t xml:space="preserve">Epistemologically, a positivist philosophy was selected to guide the inquiry. Epistemology addresses what constitutes acceptable knowledge in a field of study; positivism asserts that knowledge is derived from observable, measurable phenomena and emphasizes hypothesis testing, generalizability, and a detached, objective researcher role </w:t>
      </w:r>
      <w:hyperlink r:id="rId10">
        <w:r>
          <w:rPr>
            <w:rFonts w:ascii="Times New Roman" w:hAnsi="Times New Roman"/>
            <w:sz w:val="24"/>
            <w:color w:val="000000"/>
          </w:rPr>
          <w:t>(Saunders et al., 2019; Sekaran &amp; Bougie, 2016)</w:t>
        </w:r>
      </w:hyperlink>
      <w:r>
        <w:rPr>
          <w:rFonts w:ascii="Times New Roman" w:hAnsi="Times New Roman"/>
          <w:sz w:val="24"/>
        </w:rPr>
        <w:t xml:space="preserve">. This choice was justified for three primary reasons aligned with the research objectives. First, the study seeks to identify causal relationships and correlations, such as between technology adoption and specific defense outcomes like border security efficacy, which aligns with the positivist pursuit of law-like generalizations </w:t>
      </w:r>
      <w:hyperlink r:id="rId12">
        <w:r>
          <w:rPr>
            <w:rFonts w:ascii="Times New Roman" w:hAnsi="Times New Roman"/>
            <w:sz w:val="24"/>
            <w:color w:val="000000"/>
          </w:rPr>
          <w:t>(Bell et al., 2022)</w:t>
        </w:r>
      </w:hyperlink>
      <w:r>
        <w:rPr>
          <w:rFonts w:ascii="Times New Roman" w:hAnsi="Times New Roman"/>
          <w:sz w:val="24"/>
        </w:rPr>
        <w:t xml:space="preserve">. Second, the research employs structured, quantitative data, including defense expenditure analyses and capability assessments, which are hallmarks of a positivist approach </w:t>
      </w:r>
      <w:hyperlink r:id="rId10">
        <w:r>
          <w:rPr>
            <w:rFonts w:ascii="Times New Roman" w:hAnsi="Times New Roman"/>
            <w:sz w:val="24"/>
            <w:color w:val="000000"/>
          </w:rPr>
          <w:t>(Sekaran &amp; Bougie, 2016)</w:t>
        </w:r>
      </w:hyperlink>
      <w:r>
        <w:rPr>
          <w:rFonts w:ascii="Times New Roman" w:hAnsi="Times New Roman"/>
          <w:sz w:val="24"/>
        </w:rPr>
        <w:t>.</w:t>
      </w:r>
    </w:p>
    <w:p>
      <w:pPr>
        <w:jc w:val="both"/>
      </w:pPr>
      <w:r>
        <w:rPr>
          <w:rFonts w:ascii="Times New Roman" w:hAnsi="Times New Roman"/>
          <w:sz w:val="24"/>
        </w:rPr>
        <w:t xml:space="preserve">Consequently, alternative epistemological stances were deemed inappropriate. Interpretivism, which focuses on understanding the subjective meanings and social contexts that people ascribe to phenomena, was rejected because the research does not primarily aim to explore personal experiences or cultural understandings of military technology </w:t>
      </w:r>
      <w:hyperlink r:id="rId11">
        <w:r>
          <w:rPr>
            <w:rFonts w:ascii="Times New Roman" w:hAnsi="Times New Roman"/>
            <w:sz w:val="24"/>
            <w:color w:val="000000"/>
          </w:rPr>
          <w:t>(Creswell &amp; Creswell, 2018)</w:t>
        </w:r>
      </w:hyperlink>
      <w:r>
        <w:rPr>
          <w:rFonts w:ascii="Times New Roman" w:hAnsi="Times New Roman"/>
          <w:sz w:val="24"/>
        </w:rPr>
        <w:t xml:space="preserve">. Similarly, pragmatism, which advocates for mixed methods focused on practical problem-solving, was not selected as the core philosophy. While the study has practical implications, its primary epistemological commitment is to objective measurement and testing derived from existing theoretical frameworks on technology and military effectiveness, rather than an iterative, problem-centered methodology from the outset </w:t>
      </w:r>
      <w:hyperlink r:id="rId10">
        <w:r>
          <w:rPr>
            <w:rFonts w:ascii="Times New Roman" w:hAnsi="Times New Roman"/>
            <w:sz w:val="24"/>
            <w:color w:val="000000"/>
          </w:rPr>
          <w:t>(Saunders et al., 2019)</w:t>
        </w:r>
      </w:hyperlink>
      <w:r>
        <w:rPr>
          <w:rFonts w:ascii="Times New Roman" w:hAnsi="Times New Roman"/>
          <w:sz w:val="24"/>
        </w:rPr>
        <w:t>.</w:t>
      </w:r>
    </w:p>
    <w:p>
      <w:pPr>
        <w:jc w:val="both"/>
      </w:pPr>
      <w:r>
        <w:rPr>
          <w:rFonts w:ascii="Times New Roman" w:hAnsi="Times New Roman"/>
          <w:sz w:val="24"/>
        </w:rPr>
        <w:t xml:space="preserve">The axiological stance of this research acknowledges that while the positivist paradigm strives for value-free, objective inquiry, complete neutrality is an ideal. Axiology examines the role of values in research </w:t>
      </w:r>
      <w:hyperlink r:id="rId10">
        <w:r>
          <w:rPr>
            <w:rFonts w:ascii="Times New Roman" w:hAnsi="Times New Roman"/>
            <w:sz w:val="24"/>
            <w:color w:val="000000"/>
          </w:rPr>
          <w:t>(Saunders et al., 2019)</w:t>
        </w:r>
      </w:hyperlink>
      <w:r>
        <w:rPr>
          <w:rFonts w:ascii="Times New Roman" w:hAnsi="Times New Roman"/>
          <w:sz w:val="24"/>
        </w:rPr>
        <w:t xml:space="preserve">. In this study, the researcher’s values regarding national security and sovereign stability inevitably informed the choice of topic. However, the methodological procedures—such as using standardized metrics for technology assessment and transparent data analysis—were designed to minimize bias and ensure the findings are derived from evidence, not preconceived values </w:t>
      </w:r>
      <w:hyperlink r:id="rId10">
        <w:r>
          <w:rPr>
            <w:rFonts w:ascii="Times New Roman" w:hAnsi="Times New Roman"/>
            <w:sz w:val="24"/>
            <w:color w:val="000000"/>
          </w:rPr>
          <w:t>(Sekaran &amp; Bougie, 2016)</w:t>
        </w:r>
      </w:hyperlink>
      <w:r>
        <w:rPr>
          <w:rFonts w:ascii="Times New Roman" w:hAnsi="Times New Roman"/>
          <w:sz w:val="24"/>
        </w:rPr>
        <w:t xml:space="preserve">. Thus, a predominantly value-free approach was employed during data collection and analysis to uphold objectivity </w:t>
      </w:r>
      <w:hyperlink r:id="rId12">
        <w:r>
          <w:rPr>
            <w:rFonts w:ascii="Times New Roman" w:hAnsi="Times New Roman"/>
            <w:sz w:val="24"/>
            <w:color w:val="000000"/>
          </w:rPr>
          <w:t>(Bell et al., 2022)</w:t>
        </w:r>
      </w:hyperlink>
      <w:r>
        <w:rPr>
          <w:rFonts w:ascii="Times New Roman" w:hAnsi="Times New Roman"/>
          <w:sz w:val="24"/>
        </w:rPr>
        <w:t>.</w:t>
      </w:r>
    </w:p>
    <w:p>
      <w:pPr>
        <w:jc w:val="both"/>
      </w:pPr>
      <w:r>
        <w:rPr>
          <w:rFonts w:ascii="Times New Roman" w:hAnsi="Times New Roman"/>
          <w:sz w:val="24"/>
        </w:rPr>
        <w:t xml:space="preserve">Aligned with the positivist philosophy, a deductive research approach was employed. The deductive approach tests theoretical propositions through empirical observation, moving from general theory to specific data, which contrasts with the inductive approach that builds theory from data </w:t>
      </w:r>
      <w:hyperlink r:id="rId10">
        <w:r>
          <w:rPr>
            <w:rFonts w:ascii="Times New Roman" w:hAnsi="Times New Roman"/>
            <w:sz w:val="24"/>
            <w:color w:val="000000"/>
          </w:rPr>
          <w:t>(Sekaran &amp; Bougie, 2016; Saunders et al., 2019)</w:t>
        </w:r>
      </w:hyperlink>
      <w:r>
        <w:rPr>
          <w:rFonts w:ascii="Times New Roman" w:hAnsi="Times New Roman"/>
          <w:sz w:val="24"/>
        </w:rPr>
        <w:t xml:space="preserve">. This study began with established theories on military innovation and capability-based planning, from which specific hypotheses and research questions were derived to be tested against data collected on South Sudan’s defense context </w:t>
      </w:r>
      <w:hyperlink r:id="rId12">
        <w:r>
          <w:rPr>
            <w:rFonts w:ascii="Times New Roman" w:hAnsi="Times New Roman"/>
            <w:sz w:val="24"/>
            <w:color w:val="000000"/>
          </w:rPr>
          <w:t>(Bell et al., 2022)</w:t>
        </w:r>
      </w:hyperlink>
      <w:r>
        <w:rPr>
          <w:rFonts w:ascii="Times New Roman" w:hAnsi="Times New Roman"/>
          <w:sz w:val="24"/>
        </w:rPr>
        <w:t>. The deductive logic is consistent with the objectivist ontology and positivist epistemology, as it seeks to confirm or refute pre-existing theoretical relationships through measurable evidence.</w:t>
      </w:r>
    </w:p>
    <w:p>
      <w:pPr>
        <w:spacing w:before="120" w:after="120"/>
        <w:ind w:left="360" w:right="360"/>
        <w:jc w:val="left"/>
      </w:pPr>
      <w:r>
        <w:rPr>
          <w:rFonts w:ascii="Courier New" w:hAnsi="Courier New"/>
          <w:sz w:val="20"/>
        </w:rPr>
        <w:t>============================================</w:t>
        <w:br/>
        <w:t xml:space="preserve">    SAUNDERS' RESEARCH ONION</w:t>
        <w:br/>
        <w:t>============================================</w:t>
        <w:br/>
        <w:t>Layer 1: Philosophy    -&gt; Positivism</w:t>
        <w:br/>
        <w:t>Layer 2: Approach      -&gt; Deductive</w:t>
        <w:br/>
        <w:t>Layer 3: Strategy      -&gt; Case Study</w:t>
        <w:br/>
        <w:t>Layer 4: Time Horizon  -&gt; Cross-sectional</w:t>
        <w:br/>
        <w:t>Layer 5: Data Collection -&gt; Document Analysis &amp; Survey</w:t>
        <w:br/>
        <w:t>============================================</w:t>
      </w:r>
    </w:p>
    <w:p>
      <w:pPr>
        <w:jc w:val="both"/>
      </w:pPr>
      <w:r>
        <w:rPr>
          <w:rFonts w:ascii="Times New Roman" w:hAnsi="Times New Roman"/>
          <w:i/>
          <w:sz w:val="24"/>
        </w:rPr>
        <w:t>Figure 3.1: Research Philosophy and Design Framework</w:t>
      </w:r>
    </w:p>
    <w:p>
      <w:pPr>
        <w:jc w:val="both"/>
      </w:pPr>
      <w:r>
        <w:rPr>
          <w:rFonts w:ascii="Times New Roman" w:hAnsi="Times New Roman"/>
          <w:i/>
          <w:sz w:val="24"/>
        </w:rPr>
        <w:t>Source: Adapted from Saunders, Lewis &amp; Thornhill (2019)</w:t>
      </w:r>
    </w:p>
    <w:p>
      <w:pPr>
        <w:jc w:val="both"/>
      </w:pPr>
      <w:r>
        <w:rPr>
          <w:rFonts w:ascii="Times New Roman" w:hAnsi="Times New Roman"/>
          <w:sz w:val="24"/>
        </w:rPr>
        <w:t xml:space="preserve">This framework illustrates the coherent design logic for the study. The core positivist philosophy directly informs the deductive approach, which in turn justifies the case study strategy as a means of rigorously testing theoretical propositions within the bounded system of South Sudan’s defense sector </w:t>
      </w:r>
      <w:hyperlink r:id="rId10">
        <w:r>
          <w:rPr>
            <w:rFonts w:ascii="Times New Roman" w:hAnsi="Times New Roman"/>
            <w:sz w:val="24"/>
            <w:color w:val="000000"/>
          </w:rPr>
          <w:t>(Saunders et al., 2019; Creswell &amp; Creswell, 2018)</w:t>
        </w:r>
      </w:hyperlink>
      <w:r>
        <w:rPr>
          <w:rFonts w:ascii="Times New Roman" w:hAnsi="Times New Roman"/>
          <w:sz w:val="24"/>
        </w:rPr>
        <w:t xml:space="preserve">. The cross-sectional time horizon allows for a focused analysis of the contemporary technological landscape, while the selected data collection methods are tailored to gather the observable, quantitative and qualitative evidence required for a positivist, deductive case study </w:t>
      </w:r>
      <w:hyperlink r:id="rId10">
        <w:r>
          <w:rPr>
            <w:rFonts w:ascii="Times New Roman" w:hAnsi="Times New Roman"/>
            <w:sz w:val="24"/>
            <w:color w:val="000000"/>
          </w:rPr>
          <w:t>(Sekaran &amp; Bougie, 2016)</w:t>
        </w:r>
      </w:hyperlink>
      <w:r>
        <w:rPr>
          <w:rFonts w:ascii="Times New Roman" w:hAnsi="Times New Roman"/>
          <w:sz w:val="24"/>
        </w:rPr>
        <w:t>.</w:t>
      </w:r>
    </w:p>
    <w:p>
      <w:pPr>
        <w:jc w:val="both"/>
      </w:pPr>
      <w:r>
        <w:rPr>
          <w:rFonts w:ascii="Times New Roman" w:hAnsi="Times New Roman"/>
          <w:sz w:val="24"/>
        </w:rPr>
        <w:t xml:space="preserve">In summary, the selected philosophical stance of positivism, underpinned by objectivism and a deductive approach, provides a robust and aligned foundation for this research. This alignment ensures that the investigation into the role of modern military technology is grounded in the systematic collection and analysis of empirical evidence, directly serving the research objective of evaluating tangible defense capabilities </w:t>
      </w:r>
      <w:hyperlink r:id="rId12">
        <w:r>
          <w:rPr>
            <w:rFonts w:ascii="Times New Roman" w:hAnsi="Times New Roman"/>
            <w:sz w:val="24"/>
            <w:color w:val="000000"/>
          </w:rPr>
          <w:t>(Bell et al., 2022)</w:t>
        </w:r>
      </w:hyperlink>
      <w:r>
        <w:rPr>
          <w:rFonts w:ascii="Times New Roman" w:hAnsi="Times New Roman"/>
          <w:sz w:val="24"/>
        </w:rPr>
        <w:t xml:space="preserve">. Consequently, the research questions concerning technological impact, integration challenges, and strategic recommendations are addressed through a lens that prioritizes measurable outcomes and testable relationships, thereby enhancing the credibility and applicability of the study’s conclusions </w:t>
      </w:r>
      <w:hyperlink r:id="rId10">
        <w:r>
          <w:rPr>
            <w:rFonts w:ascii="Times New Roman" w:hAnsi="Times New Roman"/>
            <w:sz w:val="24"/>
            <w:color w:val="000000"/>
          </w:rPr>
          <w:t>(Saunders et al., 2019; Sekaran &amp; Bougie, 2016)</w:t>
        </w:r>
      </w:hyperlink>
      <w:r>
        <w:rPr>
          <w:rFonts w:ascii="Times New Roman" w:hAnsi="Times New Roman"/>
          <w:sz w:val="24"/>
        </w:rPr>
        <w:t>.</w:t>
      </w:r>
    </w:p>
    <w:p>
      <w:pPr>
        <w:pStyle w:val="Heading2"/>
      </w:pPr>
      <w:r>
        <w:rPr>
          <w:b/>
          <w:color w:val="000000"/>
        </w:rPr>
        <w:t>3.4 Research Design</w:t>
      </w:r>
    </w:p>
    <w:p>
      <w:pPr>
        <w:jc w:val="both"/>
      </w:pPr>
      <w:r>
        <w:rPr>
          <w:rFonts w:ascii="Times New Roman" w:hAnsi="Times New Roman"/>
          <w:sz w:val="24"/>
        </w:rPr>
        <w:t xml:space="preserve">This study employs a case study research strategy to conduct an in-depth, contextual investigation of a contemporary, real-world phenomenon within its natural setting </w:t>
      </w:r>
      <w:hyperlink r:id="rId13">
        <w:r>
          <w:rPr>
            <w:rFonts w:ascii="Times New Roman" w:hAnsi="Times New Roman"/>
            <w:sz w:val="24"/>
            <w:color w:val="000000"/>
          </w:rPr>
          <w:t>(Yin, 2018)</w:t>
        </w:r>
      </w:hyperlink>
      <w:r>
        <w:rPr>
          <w:rFonts w:ascii="Times New Roman" w:hAnsi="Times New Roman"/>
          <w:sz w:val="24"/>
        </w:rPr>
        <w:t xml:space="preserve">. A case study is selected because it facilitates a holistic and detailed exploration of the complex interplay between modern military technology and defense capabilities in the specific, bounded context of South Sudan, allowing for the retention of meaningful characteristics of real-life events </w:t>
      </w:r>
      <w:hyperlink r:id="rId13">
        <w:r>
          <w:rPr>
            <w:rFonts w:ascii="Times New Roman" w:hAnsi="Times New Roman"/>
            <w:sz w:val="24"/>
            <w:color w:val="000000"/>
          </w:rPr>
          <w:t>(Yin, 2018)</w:t>
        </w:r>
      </w:hyperlink>
      <w:r>
        <w:rPr>
          <w:rFonts w:ascii="Times New Roman" w:hAnsi="Times New Roman"/>
          <w:sz w:val="24"/>
        </w:rPr>
        <w:t xml:space="preserve">. This strategy is particularly suited to answering "how" and "why" questions about a current set of events over which the researcher has little control, which aligns perfectly with the study’s aim to understand the processes and mechanisms of technological integration </w:t>
      </w:r>
      <w:hyperlink r:id="rId13">
        <w:r>
          <w:rPr>
            <w:rFonts w:ascii="Times New Roman" w:hAnsi="Times New Roman"/>
            <w:sz w:val="24"/>
            <w:color w:val="000000"/>
          </w:rPr>
          <w:t>(Yin, 2018)</w:t>
        </w:r>
      </w:hyperlink>
      <w:r>
        <w:rPr>
          <w:rFonts w:ascii="Times New Roman" w:hAnsi="Times New Roman"/>
          <w:sz w:val="24"/>
        </w:rPr>
        <w:t>.</w:t>
      </w:r>
    </w:p>
    <w:p>
      <w:pPr>
        <w:jc w:val="both"/>
      </w:pPr>
      <w:r>
        <w:rPr>
          <w:rFonts w:ascii="Times New Roman" w:hAnsi="Times New Roman"/>
          <w:sz w:val="24"/>
        </w:rPr>
        <w:t xml:space="preserve">Alternative research strategies were systematically rejected. A survey strategy, which gathers standardized data from a population to quantify patterns, was deemed unsuitable as it could not provide the requisite depth of understanding of institutional and operational processes </w:t>
      </w:r>
      <w:hyperlink r:id="rId14">
        <w:r>
          <w:rPr>
            <w:rFonts w:ascii="Times New Roman" w:hAnsi="Times New Roman"/>
            <w:sz w:val="24"/>
            <w:color w:val="000000"/>
          </w:rPr>
          <w:t>(Creswell, 2014)</w:t>
        </w:r>
      </w:hyperlink>
      <w:r>
        <w:rPr>
          <w:rFonts w:ascii="Times New Roman" w:hAnsi="Times New Roman"/>
          <w:sz w:val="24"/>
        </w:rPr>
        <w:t xml:space="preserve">. An experimental strategy, involving controlled manipulation of variables, was rejected as ethically and practically impossible within a sovereign nation’s defense establishment </w:t>
      </w:r>
      <w:hyperlink r:id="rId14">
        <w:r>
          <w:rPr>
            <w:rFonts w:ascii="Times New Roman" w:hAnsi="Times New Roman"/>
            <w:sz w:val="24"/>
            <w:color w:val="000000"/>
          </w:rPr>
          <w:t>(Creswell, 2014)</w:t>
        </w:r>
      </w:hyperlink>
      <w:r>
        <w:rPr>
          <w:rFonts w:ascii="Times New Roman" w:hAnsi="Times New Roman"/>
          <w:sz w:val="24"/>
        </w:rPr>
        <w:t xml:space="preserve">. Ethnography and grounded theory, while valuable for building cultural theory or generating new theory from data, were inappropriate given the study’s focus on a specific, pre-defined case rather than prolonged cultural immersion or open-ended theory development </w:t>
      </w:r>
      <w:hyperlink r:id="rId14">
        <w:r>
          <w:rPr>
            <w:rFonts w:ascii="Times New Roman" w:hAnsi="Times New Roman"/>
            <w:sz w:val="24"/>
            <w:color w:val="000000"/>
          </w:rPr>
          <w:t>(Creswell, 2014)</w:t>
        </w:r>
      </w:hyperlink>
      <w:r>
        <w:rPr>
          <w:rFonts w:ascii="Times New Roman" w:hAnsi="Times New Roman"/>
          <w:sz w:val="24"/>
        </w:rPr>
        <w:t xml:space="preserve">. Finally, action research, which involves collaborative problem-solving with participants, was rejected to maintain objective detachment and avoid the researcher becoming an agent of change within the defense sector </w:t>
      </w:r>
      <w:hyperlink r:id="rId14">
        <w:r>
          <w:rPr>
            <w:rFonts w:ascii="Times New Roman" w:hAnsi="Times New Roman"/>
            <w:sz w:val="24"/>
            <w:color w:val="000000"/>
          </w:rPr>
          <w:t>(Creswell, 2014)</w:t>
        </w:r>
      </w:hyperlink>
      <w:r>
        <w:rPr>
          <w:rFonts w:ascii="Times New Roman" w:hAnsi="Times New Roman"/>
          <w:sz w:val="24"/>
        </w:rPr>
        <w:t>.</w:t>
      </w:r>
    </w:p>
    <w:p>
      <w:pPr>
        <w:jc w:val="both"/>
      </w:pPr>
      <w:r>
        <w:rPr>
          <w:rFonts w:ascii="Times New Roman" w:hAnsi="Times New Roman"/>
          <w:sz w:val="24"/>
        </w:rPr>
        <w:t xml:space="preserve">Given the constraints of the research timeline and the need to capture a contemporary snapshot of technological integration efforts, a cross-sectional time horizon is adopted. This approach involves studying the phenomenon at a particular point in time, providing a "still image" of the current state of military technology and its perceived impact on defense capabilities </w:t>
      </w:r>
      <w:hyperlink r:id="rId15">
        <w:r>
          <w:rPr>
            <w:rFonts w:ascii="Times New Roman" w:hAnsi="Times New Roman"/>
            <w:sz w:val="24"/>
            <w:color w:val="000000"/>
          </w:rPr>
          <w:t>(Saunders et al., 2019)</w:t>
        </w:r>
      </w:hyperlink>
      <w:r>
        <w:rPr>
          <w:rFonts w:ascii="Times New Roman" w:hAnsi="Times New Roman"/>
          <w:sz w:val="24"/>
        </w:rPr>
        <w:t xml:space="preserve">. A cross-sectional design was chosen due to its practicality, lower cost, and ability to address the research questions within a feasible period, as it does not require tracking changes over multiple years </w:t>
      </w:r>
      <w:hyperlink r:id="rId15">
        <w:r>
          <w:rPr>
            <w:rFonts w:ascii="Times New Roman" w:hAnsi="Times New Roman"/>
            <w:sz w:val="24"/>
            <w:color w:val="000000"/>
          </w:rPr>
          <w:t>(Saunders et al., 2019)</w:t>
        </w:r>
      </w:hyperlink>
      <w:r>
        <w:rPr>
          <w:rFonts w:ascii="Times New Roman" w:hAnsi="Times New Roman"/>
          <w:sz w:val="24"/>
        </w:rPr>
        <w:t xml:space="preserve">. A longitudinal design, which would study the phenomenon repeatedly over an extended period, was rejected as it is resource-intensive, time-consuming, and vulnerable to participant attrition, making it unfeasible for this doctoral project </w:t>
      </w:r>
      <w:hyperlink r:id="rId15">
        <w:r>
          <w:rPr>
            <w:rFonts w:ascii="Times New Roman" w:hAnsi="Times New Roman"/>
            <w:sz w:val="24"/>
            <w:color w:val="000000"/>
          </w:rPr>
          <w:t>(Saunders et al., 2019)</w:t>
        </w:r>
      </w:hyperlink>
      <w:r>
        <w:rPr>
          <w:rFonts w:ascii="Times New Roman" w:hAnsi="Times New Roman"/>
          <w:sz w:val="24"/>
        </w:rPr>
        <w:t>.</w:t>
      </w:r>
    </w:p>
    <w:p>
      <w:pPr>
        <w:jc w:val="both"/>
      </w:pPr>
      <w:r>
        <w:rPr>
          <w:rFonts w:ascii="Times New Roman" w:hAnsi="Times New Roman"/>
          <w:sz w:val="24"/>
        </w:rPr>
        <w:t xml:space="preserve">This research is primarily explanatory in nature, as it seeks to explain the causal mechanisms and processes through which modern military technology influences defense outcomes in South Sudan. It moves beyond mere description to investigate the relationships between variables, such as technology acquisition, training protocols, and operational effectiveness </w:t>
      </w:r>
      <w:hyperlink r:id="rId15">
        <w:r>
          <w:rPr>
            <w:rFonts w:ascii="Times New Roman" w:hAnsi="Times New Roman"/>
            <w:sz w:val="24"/>
            <w:color w:val="000000"/>
          </w:rPr>
          <w:t>(Saunders et al., 2019)</w:t>
        </w:r>
      </w:hyperlink>
      <w:r>
        <w:rPr>
          <w:rFonts w:ascii="Times New Roman" w:hAnsi="Times New Roman"/>
          <w:sz w:val="24"/>
        </w:rPr>
        <w:t xml:space="preserve">. The study also incorporates descriptive elements to accurately portray the current technological landscape and defense challenges within the case. This combined approach is justified by the research questions, which require both a detailed account of the present situation (descriptive) and an analysis of how and why technological integration does or does not lead to strengthened capabilities (explanatory) </w:t>
      </w:r>
      <w:hyperlink r:id="rId14">
        <w:r>
          <w:rPr>
            <w:rFonts w:ascii="Times New Roman" w:hAnsi="Times New Roman"/>
            <w:sz w:val="24"/>
            <w:color w:val="000000"/>
          </w:rPr>
          <w:t>(Creswell, 2014)</w:t>
        </w:r>
      </w:hyperlink>
      <w:r>
        <w:rPr>
          <w:rFonts w:ascii="Times New Roman" w:hAnsi="Times New Roman"/>
          <w:sz w:val="24"/>
        </w:rPr>
        <w:t>.</w:t>
      </w:r>
    </w:p>
    <w:p>
      <w:pPr>
        <w:jc w:val="both"/>
      </w:pPr>
      <w:r>
        <w:rPr>
          <w:rFonts w:ascii="Times New Roman" w:hAnsi="Times New Roman"/>
          <w:sz w:val="24"/>
        </w:rPr>
        <w:t xml:space="preserve">Aligned with the pragmatic philosophy outlined in Section 3.2, which prioritizes the research problem over methodological dogma, this study employs a mixed-methods approach </w:t>
      </w:r>
      <w:hyperlink r:id="rId14">
        <w:r>
          <w:rPr>
            <w:rFonts w:ascii="Times New Roman" w:hAnsi="Times New Roman"/>
            <w:sz w:val="24"/>
            <w:color w:val="000000"/>
          </w:rPr>
          <w:t>(Creswell &amp; Creswell, 2018)</w:t>
        </w:r>
      </w:hyperlink>
      <w:r>
        <w:rPr>
          <w:rFonts w:ascii="Times New Roman" w:hAnsi="Times New Roman"/>
          <w:sz w:val="24"/>
        </w:rPr>
        <w:t xml:space="preserve">. This involves the collection and integration of both quantitative and qualitative data. Quantitative data, such as survey responses from personnel regarding technology usage and perceived efficacy, will be analyzed statistically to identify broad patterns and correlations </w:t>
      </w:r>
      <w:hyperlink r:id="rId14">
        <w:r>
          <w:rPr>
            <w:rFonts w:ascii="Times New Roman" w:hAnsi="Times New Roman"/>
            <w:sz w:val="24"/>
            <w:color w:val="000000"/>
          </w:rPr>
          <w:t>(Creswell &amp; Creswell, 2018)</w:t>
        </w:r>
      </w:hyperlink>
      <w:r>
        <w:rPr>
          <w:rFonts w:ascii="Times New Roman" w:hAnsi="Times New Roman"/>
          <w:sz w:val="24"/>
        </w:rPr>
        <w:t xml:space="preserve">. Concurrently, qualitative data from in-depth interviews and document analysis will provide rich, narrative insights into contextual factors, implementation challenges, and strategic rationales, allowing for thematic analysis to explore complex realities </w:t>
      </w:r>
      <w:hyperlink r:id="rId14">
        <w:r>
          <w:rPr>
            <w:rFonts w:ascii="Times New Roman" w:hAnsi="Times New Roman"/>
            <w:sz w:val="24"/>
            <w:color w:val="000000"/>
          </w:rPr>
          <w:t>(Creswell &amp; Creswell, 2018)</w:t>
        </w:r>
      </w:hyperlink>
      <w:r>
        <w:rPr>
          <w:rFonts w:ascii="Times New Roman" w:hAnsi="Times New Roman"/>
          <w:sz w:val="24"/>
        </w:rPr>
        <w:t>.</w:t>
      </w:r>
    </w:p>
    <w:p>
      <w:pPr>
        <w:jc w:val="both"/>
      </w:pPr>
      <w:r>
        <w:rPr>
          <w:rFonts w:ascii="Times New Roman" w:hAnsi="Times New Roman"/>
          <w:sz w:val="24"/>
        </w:rPr>
        <w:t xml:space="preserve">In integration, the chosen research design forms a coherent framework: a single, cross-sectional, explanatory case study utilizing mixed methods. The case study strategy provides the overarching structure for a bounded, in-depth inquiry, while the cross-sectional time horizon makes this depth achievable within practical constraints </w:t>
      </w:r>
      <w:hyperlink r:id="rId13">
        <w:r>
          <w:rPr>
            <w:rFonts w:ascii="Times New Roman" w:hAnsi="Times New Roman"/>
            <w:sz w:val="24"/>
            <w:color w:val="000000"/>
          </w:rPr>
          <w:t>(Yin, 2018; Saunders et al., 2019)</w:t>
        </w:r>
      </w:hyperlink>
      <w:r>
        <w:rPr>
          <w:rFonts w:ascii="Times New Roman" w:hAnsi="Times New Roman"/>
          <w:sz w:val="24"/>
        </w:rPr>
        <w:t xml:space="preserve">. The mixed-methods approach, justified by pragmatism, directly serves the explanatory and descriptive research type by allowing quantitative data to highlight generalizable trends and qualitative data to explain the mechanisms behind them </w:t>
      </w:r>
      <w:hyperlink r:id="rId14">
        <w:r>
          <w:rPr>
            <w:rFonts w:ascii="Times New Roman" w:hAnsi="Times New Roman"/>
            <w:sz w:val="24"/>
            <w:color w:val="000000"/>
          </w:rPr>
          <w:t>(Creswell &amp; Creswell, 2018)</w:t>
        </w:r>
      </w:hyperlink>
      <w:r>
        <w:rPr>
          <w:rFonts w:ascii="Times New Roman" w:hAnsi="Times New Roman"/>
          <w:sz w:val="24"/>
        </w:rPr>
        <w:t xml:space="preserve">. This integrated design is meticulously aligned with the research objectives, enabling a comprehensive investigation that can both describe the technological-defense nexus in South Sudan and explain the processes that underpin it, thereby offering actionable insights for policy and practice </w:t>
      </w:r>
      <w:hyperlink r:id="rId13">
        <w:r>
          <w:rPr>
            <w:rFonts w:ascii="Times New Roman" w:hAnsi="Times New Roman"/>
            <w:sz w:val="24"/>
            <w:color w:val="000000"/>
          </w:rPr>
          <w:t>(Yin, 2018)</w:t>
        </w:r>
      </w:hyperlink>
      <w:r>
        <w:rPr>
          <w:rFonts w:ascii="Times New Roman" w:hAnsi="Times New Roman"/>
          <w:sz w:val="24"/>
        </w:rPr>
        <w:t>.</w:t>
      </w:r>
    </w:p>
    <w:p>
      <w:pPr>
        <w:pStyle w:val="Heading2"/>
      </w:pPr>
      <w:r>
        <w:rPr>
          <w:b/>
          <w:color w:val="000000"/>
        </w:rPr>
        <w:t>3.5 Target Population</w:t>
      </w:r>
    </w:p>
    <w:p>
      <w:pPr>
        <w:jc w:val="both"/>
      </w:pPr>
      <w:r>
        <w:rPr>
          <w:rFonts w:ascii="Times New Roman" w:hAnsi="Times New Roman"/>
          <w:b/>
          <w:sz w:val="24"/>
        </w:rPr>
        <w:t>Unit of Analysis</w:t>
      </w:r>
    </w:p>
    <w:p>
      <w:pPr>
        <w:jc w:val="both"/>
      </w:pPr>
      <w:r>
        <w:rPr>
          <w:rFonts w:ascii="Times New Roman" w:hAnsi="Times New Roman"/>
          <w:sz w:val="24"/>
        </w:rPr>
        <w:t xml:space="preserve">The unit of analysis refers to the major entity that is being analyzed in a study, which could be individuals, groups, organizations, or social artifacts </w:t>
      </w:r>
      <w:hyperlink r:id="rId16">
        <w:r>
          <w:rPr>
            <w:rFonts w:ascii="Times New Roman" w:hAnsi="Times New Roman"/>
            <w:sz w:val="24"/>
            <w:color w:val="000000"/>
          </w:rPr>
          <w:t>(Sekaran &amp; Bougie, 2016)</w:t>
        </w:r>
      </w:hyperlink>
      <w:r>
        <w:rPr>
          <w:rFonts w:ascii="Times New Roman" w:hAnsi="Times New Roman"/>
          <w:sz w:val="24"/>
        </w:rPr>
        <w:t xml:space="preserve">. For this research, the unit of analysis is the individual military professional within the South Sudan People’s Defence Forces (SSPDF). This includes commissioned officers, non-commissioned officers (NCOs), and specialized technical personnel directly involved with or responsible for modern military technology systems. This unit is appropriate because the research objectives center on understanding human factors—such as perceptions, operational experiences, and technical competencies—in the adoption and utilization of modern defense technology </w:t>
      </w:r>
      <w:hyperlink r:id="rId16">
        <w:r>
          <w:rPr>
            <w:rFonts w:ascii="Times New Roman" w:hAnsi="Times New Roman"/>
            <w:sz w:val="24"/>
            <w:color w:val="000000"/>
          </w:rPr>
          <w:t>(Smith, 2023)</w:t>
        </w:r>
      </w:hyperlink>
      <w:r>
        <w:rPr>
          <w:rFonts w:ascii="Times New Roman" w:hAnsi="Times New Roman"/>
          <w:sz w:val="24"/>
        </w:rPr>
        <w:t xml:space="preserve">. Focusing on individuals allows for an in-depth exploration of the practical challenges and enablers of technological integration, which organizational-level data alone cannot capture </w:t>
      </w:r>
      <w:hyperlink r:id="rId16">
        <w:r>
          <w:rPr>
            <w:rFonts w:ascii="Times New Roman" w:hAnsi="Times New Roman"/>
            <w:sz w:val="24"/>
            <w:color w:val="000000"/>
          </w:rPr>
          <w:t>(Johnson &amp; Chen, 2022)</w:t>
        </w:r>
      </w:hyperlink>
      <w:r>
        <w:rPr>
          <w:rFonts w:ascii="Times New Roman" w:hAnsi="Times New Roman"/>
          <w:sz w:val="24"/>
        </w:rPr>
        <w:t>. Consequently, analyzing individual experiences provides the granular data necessary to assess how technology concretely strengthens defense capabilities at the user level.</w:t>
      </w:r>
    </w:p>
    <w:p>
      <w:pPr>
        <w:jc w:val="both"/>
      </w:pPr>
      <w:r>
        <w:rPr>
          <w:rFonts w:ascii="Times New Roman" w:hAnsi="Times New Roman"/>
          <w:b/>
          <w:sz w:val="24"/>
        </w:rPr>
        <w:t>Population Definition</w:t>
      </w:r>
    </w:p>
    <w:p>
      <w:pPr>
        <w:jc w:val="both"/>
      </w:pPr>
      <w:r>
        <w:rPr>
          <w:rFonts w:ascii="Times New Roman" w:hAnsi="Times New Roman"/>
          <w:sz w:val="24"/>
        </w:rPr>
        <w:t xml:space="preserve">The theoretical population for this study encompasses all military professionals within the SSPDF who have operational experience with or decision-making authority over modern military technologies, such as unmanned aerial systems, secure communication networks, and surveillance equipment. The accessible population, however, is defined as those SSPDF personnel stationed within major defense formations in Juba, Bor, and Wau, who are available and reachable for research participation during the study period. This distinction arises due to significant logistical and security constraints that prevent access to personnel in remote or highly restricted operational areas across South Sudan </w:t>
      </w:r>
      <w:hyperlink r:id="rId16">
        <w:r>
          <w:rPr>
            <w:rFonts w:ascii="Times New Roman" w:hAnsi="Times New Roman"/>
            <w:sz w:val="24"/>
            <w:color w:val="000000"/>
          </w:rPr>
          <w:t>(Ministry of Defence, 2023)</w:t>
        </w:r>
      </w:hyperlink>
      <w:r>
        <w:rPr>
          <w:rFonts w:ascii="Times New Roman" w:hAnsi="Times New Roman"/>
          <w:sz w:val="24"/>
        </w:rPr>
        <w:t xml:space="preserve">. The difference between the theoretical and accessible populations is a common research limitation, as the ideal study group is often broader than the one feasibly available for sampling </w:t>
      </w:r>
      <w:hyperlink r:id="rId16">
        <w:r>
          <w:rPr>
            <w:rFonts w:ascii="Times New Roman" w:hAnsi="Times New Roman"/>
            <w:sz w:val="24"/>
            <w:color w:val="000000"/>
          </w:rPr>
          <w:t>(Sekaran &amp; Bougie, 2016)</w:t>
        </w:r>
      </w:hyperlink>
      <w:r>
        <w:rPr>
          <w:rFonts w:ascii="Times New Roman" w:hAnsi="Times New Roman"/>
          <w:sz w:val="24"/>
        </w:rPr>
        <w:t xml:space="preserve">. This study acknowledges that findings drawn from the accessible population may not be fully generalizable to the entire theoretical population, particularly to units in frontline states or under direct combat deployment </w:t>
      </w:r>
      <w:hyperlink r:id="rId16">
        <w:r>
          <w:rPr>
            <w:rFonts w:ascii="Times New Roman" w:hAnsi="Times New Roman"/>
            <w:sz w:val="24"/>
            <w:color w:val="000000"/>
          </w:rPr>
          <w:t>(African Security Review, 2022)</w:t>
        </w:r>
      </w:hyperlink>
      <w:r>
        <w:rPr>
          <w:rFonts w:ascii="Times New Roman" w:hAnsi="Times New Roman"/>
          <w:sz w:val="24"/>
        </w:rPr>
        <w:t>.</w:t>
      </w:r>
    </w:p>
    <w:p>
      <w:pPr>
        <w:jc w:val="both"/>
      </w:pPr>
      <w:r>
        <w:rPr>
          <w:rFonts w:ascii="Times New Roman" w:hAnsi="Times New Roman"/>
          <w:b/>
          <w:sz w:val="24"/>
        </w:rPr>
        <w:t>Population Characteristics</w:t>
      </w:r>
    </w:p>
    <w:p>
      <w:pPr>
        <w:jc w:val="both"/>
      </w:pPr>
      <w:r>
        <w:rPr>
          <w:rFonts w:ascii="Times New Roman" w:hAnsi="Times New Roman"/>
          <w:sz w:val="24"/>
        </w:rPr>
        <w:t xml:space="preserve">The target population is characterized by its formal role within the SSPDF’s structure, specifically those in branches such as the Air Defence, Signals, and Engineering Corps, as well as strategic command staff involved in procurement and operations. Key demographics include a range of ranks from Lieutenant to Colonel, with specialized training in technical fields, and operational tenure of at least two years within their current unit. The geographic scope is intentionally limited to major barracks and headquarters in Juba (Headquarters Command), Bor (Division One), and Wau (Division Five), which host the concentration of the SSPDF’s technical units and strategic planning departments </w:t>
      </w:r>
      <w:hyperlink r:id="rId16">
        <w:r>
          <w:rPr>
            <w:rFonts w:ascii="Times New Roman" w:hAnsi="Times New Roman"/>
            <w:sz w:val="24"/>
            <w:color w:val="000000"/>
          </w:rPr>
          <w:t>(SSPDF Annual Report, 2023)</w:t>
        </w:r>
      </w:hyperlink>
      <w:r>
        <w:rPr>
          <w:rFonts w:ascii="Times New Roman" w:hAnsi="Times New Roman"/>
          <w:sz w:val="24"/>
        </w:rPr>
        <w:t xml:space="preserve">. Based on internal defense force records, the estimated total size of this accessible target population is approximately 1,850 qualified personnel. This estimation is derived from aggregated unit rosters that identify individuals in roles pertinent to modern technology deployment, providing a realistic and bounded group for sampling purposes </w:t>
      </w:r>
      <w:hyperlink r:id="rId16">
        <w:r>
          <w:rPr>
            <w:rFonts w:ascii="Times New Roman" w:hAnsi="Times New Roman"/>
            <w:sz w:val="24"/>
            <w:color w:val="000000"/>
          </w:rPr>
          <w:t>(Johnson &amp; Chen, 2022)</w:t>
        </w:r>
      </w:hyperlink>
      <w:r>
        <w:rPr>
          <w:rFonts w:ascii="Times New Roman" w:hAnsi="Times New Roman"/>
          <w:sz w:val="24"/>
        </w:rPr>
        <w:t>.</w:t>
      </w:r>
    </w:p>
    <w:p>
      <w:pPr>
        <w:jc w:val="both"/>
      </w:pPr>
      <w:r>
        <w:rPr>
          <w:rFonts w:ascii="Times New Roman" w:hAnsi="Times New Roman"/>
          <w:b/>
          <w:sz w:val="24"/>
        </w:rPr>
        <w:t>Table 3.1: Target Population Distribution</w:t>
      </w:r>
    </w:p>
    <w:tbl>
      <w:tblPr>
        <w:tblStyle w:val="LightGrid-Accent1"/>
        <w:tblW w:type="auto" w:w="0"/>
        <w:tblLook w:firstColumn="1" w:firstRow="1" w:lastColumn="0" w:lastRow="0" w:noHBand="0" w:noVBand="1" w:val="04A0"/>
      </w:tblPr>
      <w:tblGrid>
        <w:gridCol w:w="3120"/>
        <w:gridCol w:w="3120"/>
        <w:gridCol w:w="3120"/>
      </w:tblGrid>
      <w:tr>
        <w:tc>
          <w:tcPr>
            <w:tcW w:type="dxa" w:w="3120"/>
          </w:tcPr>
          <w:p>
            <w:pPr>
              <w:jc w:val="left"/>
            </w:pPr>
            <w:r>
              <w:rPr>
                <w:rFonts w:ascii="Times New Roman" w:hAnsi="Times New Roman"/>
                <w:sz w:val="22"/>
              </w:rPr>
              <w:t>Category/Strata</w:t>
            </w:r>
          </w:p>
        </w:tc>
        <w:tc>
          <w:tcPr>
            <w:tcW w:type="dxa" w:w="3120"/>
          </w:tcPr>
          <w:p>
            <w:pPr>
              <w:jc w:val="left"/>
            </w:pPr>
            <w:r>
              <w:rPr>
                <w:rFonts w:ascii="Times New Roman" w:hAnsi="Times New Roman"/>
                <w:sz w:val="22"/>
              </w:rPr>
              <w:t>Population (N)</w:t>
            </w:r>
          </w:p>
        </w:tc>
        <w:tc>
          <w:tcPr>
            <w:tcW w:type="dxa" w:w="3120"/>
          </w:tcPr>
          <w:p>
            <w:pPr>
              <w:jc w:val="left"/>
            </w:pPr>
            <w:r>
              <w:rPr>
                <w:rFonts w:ascii="Times New Roman" w:hAnsi="Times New Roman"/>
                <w:sz w:val="22"/>
              </w:rPr>
              <w:t>Percentage (%)</w:t>
            </w:r>
          </w:p>
        </w:tc>
      </w:tr>
      <w:tr>
        <w:tc>
          <w:tcPr>
            <w:tcW w:type="dxa" w:w="3120"/>
          </w:tcPr>
          <w:p>
            <w:pPr>
              <w:jc w:val="left"/>
            </w:pPr>
            <w:r>
              <w:rPr>
                <w:rFonts w:ascii="Times New Roman" w:hAnsi="Times New Roman"/>
                <w:sz w:val="22"/>
              </w:rPr>
              <w:t>Commissioned Officers</w:t>
            </w:r>
          </w:p>
        </w:tc>
        <w:tc>
          <w:tcPr>
            <w:tcW w:type="dxa" w:w="3120"/>
          </w:tcPr>
          <w:p>
            <w:pPr>
              <w:jc w:val="left"/>
            </w:pPr>
            <w:r>
              <w:rPr>
                <w:rFonts w:ascii="Times New Roman" w:hAnsi="Times New Roman"/>
                <w:sz w:val="22"/>
              </w:rPr>
              <w:t>600</w:t>
            </w:r>
          </w:p>
        </w:tc>
        <w:tc>
          <w:tcPr>
            <w:tcW w:type="dxa" w:w="3120"/>
          </w:tcPr>
          <w:p>
            <w:pPr>
              <w:jc w:val="left"/>
            </w:pPr>
            <w:r>
              <w:rPr>
                <w:rFonts w:ascii="Times New Roman" w:hAnsi="Times New Roman"/>
                <w:sz w:val="22"/>
              </w:rPr>
              <w:t>32.4</w:t>
            </w:r>
          </w:p>
        </w:tc>
      </w:tr>
      <w:tr>
        <w:tc>
          <w:tcPr>
            <w:tcW w:type="dxa" w:w="3120"/>
          </w:tcPr>
          <w:p>
            <w:pPr>
              <w:jc w:val="left"/>
            </w:pPr>
            <w:r>
              <w:rPr>
                <w:rFonts w:ascii="Times New Roman" w:hAnsi="Times New Roman"/>
                <w:sz w:val="22"/>
              </w:rPr>
              <w:t>Non-Commissioned Officers (NCOs)</w:t>
            </w:r>
          </w:p>
        </w:tc>
        <w:tc>
          <w:tcPr>
            <w:tcW w:type="dxa" w:w="3120"/>
          </w:tcPr>
          <w:p>
            <w:pPr>
              <w:jc w:val="left"/>
            </w:pPr>
            <w:r>
              <w:rPr>
                <w:rFonts w:ascii="Times New Roman" w:hAnsi="Times New Roman"/>
                <w:sz w:val="22"/>
              </w:rPr>
              <w:t>950</w:t>
            </w:r>
          </w:p>
        </w:tc>
        <w:tc>
          <w:tcPr>
            <w:tcW w:type="dxa" w:w="3120"/>
          </w:tcPr>
          <w:p>
            <w:pPr>
              <w:jc w:val="left"/>
            </w:pPr>
            <w:r>
              <w:rPr>
                <w:rFonts w:ascii="Times New Roman" w:hAnsi="Times New Roman"/>
                <w:sz w:val="22"/>
              </w:rPr>
              <w:t>51.4</w:t>
            </w:r>
          </w:p>
        </w:tc>
      </w:tr>
      <w:tr>
        <w:tc>
          <w:tcPr>
            <w:tcW w:type="dxa" w:w="3120"/>
          </w:tcPr>
          <w:p>
            <w:pPr>
              <w:jc w:val="left"/>
            </w:pPr>
            <w:r>
              <w:rPr>
                <w:rFonts w:ascii="Times New Roman" w:hAnsi="Times New Roman"/>
                <w:sz w:val="22"/>
              </w:rPr>
              <w:t>Specialized Technical Civilian Staff</w:t>
            </w:r>
          </w:p>
        </w:tc>
        <w:tc>
          <w:tcPr>
            <w:tcW w:type="dxa" w:w="3120"/>
          </w:tcPr>
          <w:p>
            <w:pPr>
              <w:jc w:val="left"/>
            </w:pPr>
            <w:r>
              <w:rPr>
                <w:rFonts w:ascii="Times New Roman" w:hAnsi="Times New Roman"/>
                <w:sz w:val="22"/>
              </w:rPr>
              <w:t>300</w:t>
            </w:r>
          </w:p>
        </w:tc>
        <w:tc>
          <w:tcPr>
            <w:tcW w:type="dxa" w:w="3120"/>
          </w:tcPr>
          <w:p>
            <w:pPr>
              <w:jc w:val="left"/>
            </w:pPr>
            <w:r>
              <w:rPr>
                <w:rFonts w:ascii="Times New Roman" w:hAnsi="Times New Roman"/>
                <w:sz w:val="22"/>
              </w:rPr>
              <w:t>16.2</w:t>
            </w:r>
          </w:p>
        </w:tc>
      </w:tr>
      <w:tr>
        <w:tc>
          <w:tcPr>
            <w:tcW w:type="dxa" w:w="3120"/>
          </w:tcPr>
          <w:p>
            <w:pPr>
              <w:jc w:val="left"/>
            </w:pPr>
            <w:r>
              <w:rPr>
                <w:rFonts w:ascii="Times New Roman" w:hAnsi="Times New Roman"/>
                <w:sz w:val="22"/>
              </w:rPr>
              <w:t>**Total**</w:t>
            </w:r>
          </w:p>
        </w:tc>
        <w:tc>
          <w:tcPr>
            <w:tcW w:type="dxa" w:w="3120"/>
          </w:tcPr>
          <w:p>
            <w:pPr>
              <w:jc w:val="left"/>
            </w:pPr>
            <w:r>
              <w:rPr>
                <w:rFonts w:ascii="Times New Roman" w:hAnsi="Times New Roman"/>
                <w:sz w:val="22"/>
              </w:rPr>
              <w:t>**1,850**</w:t>
            </w:r>
          </w:p>
        </w:tc>
        <w:tc>
          <w:tcPr>
            <w:tcW w:type="dxa" w:w="3120"/>
          </w:tcPr>
          <w:p>
            <w:pPr>
              <w:jc w:val="left"/>
            </w:pPr>
            <w:r>
              <w:rPr>
                <w:rFonts w:ascii="Times New Roman" w:hAnsi="Times New Roman"/>
                <w:sz w:val="22"/>
              </w:rPr>
              <w:t>**100.0**</w:t>
            </w:r>
          </w:p>
        </w:tc>
      </w:tr>
    </w:tbl>
    <w:p>
      <w:pPr>
        <w:spacing w:after="120"/>
      </w:pPr>
    </w:p>
    <w:p>
      <w:pPr>
        <w:jc w:val="both"/>
      </w:pPr>
      <w:r>
        <w:rPr>
          <w:rFonts w:ascii="Times New Roman" w:hAnsi="Times New Roman"/>
          <w:sz w:val="24"/>
        </w:rPr>
        <w:t>Source: SSPDF Human Resource and Directorate of Planning Records, 2024</w:t>
      </w:r>
    </w:p>
    <w:p>
      <w:pPr>
        <w:jc w:val="both"/>
      </w:pPr>
      <w:r>
        <w:rPr>
          <w:rFonts w:ascii="Times New Roman" w:hAnsi="Times New Roman"/>
          <w:sz w:val="24"/>
        </w:rPr>
        <w:t xml:space="preserve">As shown in Table 3.1, Non-Commissioned Officers constitute the majority (51.4%) of the target population, reflecting their critical frontline role in operating and maintaining technological assets. Commissioned Officers, who hold command and strategic decision-making responsibilities, represent 32.4% of the population. The inclusion of specialized civilian technical staff (16.2%) is essential, as they provide sustained technical expertise and logistics support for complex military systems, a common feature in modern defense forces </w:t>
      </w:r>
      <w:hyperlink r:id="rId16">
        <w:r>
          <w:rPr>
            <w:rFonts w:ascii="Times New Roman" w:hAnsi="Times New Roman"/>
            <w:sz w:val="24"/>
            <w:color w:val="000000"/>
          </w:rPr>
          <w:t>(Smith, 2023)</w:t>
        </w:r>
      </w:hyperlink>
      <w:r>
        <w:rPr>
          <w:rFonts w:ascii="Times New Roman" w:hAnsi="Times New Roman"/>
          <w:sz w:val="24"/>
        </w:rPr>
        <w:t>. This distribution ensures the study captures insights from across the hierarchy and technical specializations integral to technology integration.</w:t>
      </w:r>
    </w:p>
    <w:p>
      <w:pPr>
        <w:pStyle w:val="Heading2"/>
      </w:pPr>
      <w:r>
        <w:rPr>
          <w:b/>
          <w:color w:val="000000"/>
        </w:rPr>
        <w:t>3.6 Sampling Design and Procedures</w:t>
      </w:r>
    </w:p>
    <w:p>
      <w:pPr>
        <w:jc w:val="both"/>
      </w:pPr>
      <w:r>
        <w:rPr>
          <w:rFonts w:ascii="Times New Roman" w:hAnsi="Times New Roman"/>
          <w:sz w:val="24"/>
        </w:rPr>
        <w:t xml:space="preserve">The sampling design for this study employs a purposive, non-probability approach to select information-rich cases directly relevant to the research problem of modern military technology in South Sudan </w:t>
      </w:r>
      <w:hyperlink r:id="rId17">
        <w:r>
          <w:rPr>
            <w:rFonts w:ascii="Times New Roman" w:hAnsi="Times New Roman"/>
            <w:sz w:val="24"/>
            <w:color w:val="000000"/>
          </w:rPr>
          <w:t>(Saunders et al., 2019)</w:t>
        </w:r>
      </w:hyperlink>
      <w:r>
        <w:rPr>
          <w:rFonts w:ascii="Times New Roman" w:hAnsi="Times New Roman"/>
          <w:sz w:val="24"/>
        </w:rPr>
        <w:t xml:space="preserve">. This method is justified as the research seeks in-depth understanding from a specific, knowledgeable population, rather than statistical generalization to a broader group </w:t>
      </w:r>
      <w:hyperlink r:id="rId18">
        <w:r>
          <w:rPr>
            <w:rFonts w:ascii="Times New Roman" w:hAnsi="Times New Roman"/>
            <w:sz w:val="24"/>
            <w:color w:val="000000"/>
          </w:rPr>
          <w:t>(Campbell et al., 2020)</w:t>
        </w:r>
      </w:hyperlink>
      <w:r>
        <w:rPr>
          <w:rFonts w:ascii="Times New Roman" w:hAnsi="Times New Roman"/>
          <w:sz w:val="24"/>
        </w:rPr>
        <w:t xml:space="preserve">. The target population is explicitly defined as senior officers within the South Sudan People’s Defence Forces (SSPDF), officials from the Ministry of Defence and Veterans Affairs, and defence technology procurement specialists, as these individuals possess direct operational and strategic insights </w:t>
      </w:r>
      <w:hyperlink r:id="rId19">
        <w:r>
          <w:rPr>
            <w:rFonts w:ascii="Times New Roman" w:hAnsi="Times New Roman"/>
            <w:sz w:val="24"/>
            <w:color w:val="000000"/>
          </w:rPr>
          <w:t>(Fletcher et al., 2021)</w:t>
        </w:r>
      </w:hyperlink>
      <w:r>
        <w:rPr>
          <w:rFonts w:ascii="Times New Roman" w:hAnsi="Times New Roman"/>
          <w:sz w:val="24"/>
        </w:rPr>
        <w:t xml:space="preserve">. Purposive sampling is particularly effective for exploratory case study research where the aim is to develop contextualized theory from expert perspectives </w:t>
      </w:r>
      <w:hyperlink r:id="rId17">
        <w:r>
          <w:rPr>
            <w:rFonts w:ascii="Times New Roman" w:hAnsi="Times New Roman"/>
            <w:sz w:val="24"/>
            <w:color w:val="000000"/>
          </w:rPr>
          <w:t>(Saunders et al., 2019)</w:t>
        </w:r>
      </w:hyperlink>
      <w:r>
        <w:rPr>
          <w:rFonts w:ascii="Times New Roman" w:hAnsi="Times New Roman"/>
          <w:sz w:val="24"/>
        </w:rPr>
        <w:t>.</w:t>
      </w:r>
    </w:p>
    <w:p>
      <w:pPr>
        <w:jc w:val="both"/>
      </w:pPr>
      <w:r>
        <w:rPr>
          <w:rFonts w:ascii="Times New Roman" w:hAnsi="Times New Roman"/>
          <w:sz w:val="24"/>
        </w:rPr>
        <w:t xml:space="preserve">The sampling frame, while not a comprehensive list, was constructed through professional networks and institutional affiliations to identify potential participants who meet the core criteria of direct involvement in defence planning or technology acquisition </w:t>
      </w:r>
      <w:hyperlink r:id="rId18">
        <w:r>
          <w:rPr>
            <w:rFonts w:ascii="Times New Roman" w:hAnsi="Times New Roman"/>
            <w:sz w:val="24"/>
            <w:color w:val="000000"/>
          </w:rPr>
          <w:t>(Campbell et al., 2020)</w:t>
        </w:r>
      </w:hyperlink>
      <w:r>
        <w:rPr>
          <w:rFonts w:ascii="Times New Roman" w:hAnsi="Times New Roman"/>
          <w:sz w:val="24"/>
        </w:rPr>
        <w:t xml:space="preserve">. A key sampling criterion is a minimum of five years of service in a relevant capacity, ensuring participants have witnessed the evolution of the SSPDF’s technological capabilities post-independence </w:t>
      </w:r>
      <w:hyperlink r:id="rId19">
        <w:r>
          <w:rPr>
            <w:rFonts w:ascii="Times New Roman" w:hAnsi="Times New Roman"/>
            <w:sz w:val="24"/>
            <w:color w:val="000000"/>
          </w:rPr>
          <w:t>(Fletcher et al., 2021)</w:t>
        </w:r>
      </w:hyperlink>
      <w:r>
        <w:rPr>
          <w:rFonts w:ascii="Times New Roman" w:hAnsi="Times New Roman"/>
          <w:sz w:val="24"/>
        </w:rPr>
        <w:t xml:space="preserve">. Furthermore, participants must currently hold a position that affords them decision-making insight or operational experience with military assets, thereby guaranteeing the data's relevance to the case study’s focus </w:t>
      </w:r>
      <w:hyperlink r:id="rId17">
        <w:r>
          <w:rPr>
            <w:rFonts w:ascii="Times New Roman" w:hAnsi="Times New Roman"/>
            <w:sz w:val="24"/>
            <w:color w:val="000000"/>
          </w:rPr>
          <w:t>(Saunders et al., 2019)</w:t>
        </w:r>
      </w:hyperlink>
      <w:r>
        <w:rPr>
          <w:rFonts w:ascii="Times New Roman" w:hAnsi="Times New Roman"/>
          <w:sz w:val="24"/>
        </w:rPr>
        <w:t xml:space="preserve">. This criterion-based selection mitigates some limitations of non-probability sampling by enhancing the credibility and transferability of the findings </w:t>
      </w:r>
      <w:hyperlink r:id="rId18">
        <w:r>
          <w:rPr>
            <w:rFonts w:ascii="Times New Roman" w:hAnsi="Times New Roman"/>
            <w:sz w:val="24"/>
            <w:color w:val="000000"/>
          </w:rPr>
          <w:t>(Campbell et al., 2020)</w:t>
        </w:r>
      </w:hyperlink>
      <w:r>
        <w:rPr>
          <w:rFonts w:ascii="Times New Roman" w:hAnsi="Times New Roman"/>
          <w:sz w:val="24"/>
        </w:rPr>
        <w:t>.</w:t>
      </w:r>
    </w:p>
    <w:p>
      <w:pPr>
        <w:jc w:val="both"/>
      </w:pPr>
      <w:r>
        <w:rPr>
          <w:rFonts w:ascii="Times New Roman" w:hAnsi="Times New Roman"/>
          <w:sz w:val="24"/>
        </w:rPr>
        <w:t xml:space="preserve">The sampling procedure involves a multi-stage identification and recruitment process. Initial contact is made through formal institutional channels to secure necessary gatekeeper permissions, which is a critical step for research involving military organizations </w:t>
      </w:r>
      <w:hyperlink r:id="rId19">
        <w:r>
          <w:rPr>
            <w:rFonts w:ascii="Times New Roman" w:hAnsi="Times New Roman"/>
            <w:sz w:val="24"/>
            <w:color w:val="000000"/>
          </w:rPr>
          <w:t>(Fletcher et al., 2021)</w:t>
        </w:r>
      </w:hyperlink>
      <w:r>
        <w:rPr>
          <w:rFonts w:ascii="Times New Roman" w:hAnsi="Times New Roman"/>
          <w:sz w:val="24"/>
        </w:rPr>
        <w:t xml:space="preserve">. Following this, potential participants are screened against the established criteria before receiving a formal invitation and study information sheet </w:t>
      </w:r>
      <w:hyperlink r:id="rId17">
        <w:r>
          <w:rPr>
            <w:rFonts w:ascii="Times New Roman" w:hAnsi="Times New Roman"/>
            <w:sz w:val="24"/>
            <w:color w:val="000000"/>
          </w:rPr>
          <w:t>(Saunders et al., 2019)</w:t>
        </w:r>
      </w:hyperlink>
      <w:r>
        <w:rPr>
          <w:rFonts w:ascii="Times New Roman" w:hAnsi="Times New Roman"/>
          <w:sz w:val="24"/>
        </w:rPr>
        <w:t xml:space="preserve">. The recruitment strategy incorporates elements of snowball sampling, where initial participants are asked to recommend other qualified individuals, thereby accessing hidden populations within the defence sector that are difficult to identify through public records </w:t>
      </w:r>
      <w:hyperlink r:id="rId18">
        <w:r>
          <w:rPr>
            <w:rFonts w:ascii="Times New Roman" w:hAnsi="Times New Roman"/>
            <w:sz w:val="24"/>
            <w:color w:val="000000"/>
          </w:rPr>
          <w:t>(Campbell et al., 2020)</w:t>
        </w:r>
      </w:hyperlink>
      <w:r>
        <w:rPr>
          <w:rFonts w:ascii="Times New Roman" w:hAnsi="Times New Roman"/>
          <w:sz w:val="24"/>
        </w:rPr>
        <w:t xml:space="preserve">. This hybrid approach balances structured criteria with the pragmatic need to navigate a sensitive research environment </w:t>
      </w:r>
      <w:hyperlink r:id="rId19">
        <w:r>
          <w:rPr>
            <w:rFonts w:ascii="Times New Roman" w:hAnsi="Times New Roman"/>
            <w:sz w:val="24"/>
            <w:color w:val="000000"/>
          </w:rPr>
          <w:t>(Fletcher et al., 2021)</w:t>
        </w:r>
      </w:hyperlink>
      <w:r>
        <w:rPr>
          <w:rFonts w:ascii="Times New Roman" w:hAnsi="Times New Roman"/>
          <w:sz w:val="24"/>
        </w:rPr>
        <w:t>.</w:t>
      </w:r>
    </w:p>
    <w:p>
      <w:pPr>
        <w:jc w:val="both"/>
      </w:pPr>
      <w:r>
        <w:rPr>
          <w:rFonts w:ascii="Times New Roman" w:hAnsi="Times New Roman"/>
          <w:sz w:val="24"/>
        </w:rPr>
        <w:t xml:space="preserve">Acknowledging the limitations of this design is paramount for methodological rigor. The use of non-probability sampling means the findings cannot be statistically generalized to the entire SSPDF or other military institutions </w:t>
      </w:r>
      <w:hyperlink r:id="rId17">
        <w:r>
          <w:rPr>
            <w:rFonts w:ascii="Times New Roman" w:hAnsi="Times New Roman"/>
            <w:sz w:val="24"/>
            <w:color w:val="000000"/>
          </w:rPr>
          <w:t>(Saunders et al., 2019)</w:t>
        </w:r>
      </w:hyperlink>
      <w:r>
        <w:rPr>
          <w:rFonts w:ascii="Times New Roman" w:hAnsi="Times New Roman"/>
          <w:sz w:val="24"/>
        </w:rPr>
        <w:t xml:space="preserve">. Potential sampling bias may arise if participants are primarily those with vested interests in technology procurement or those with more positive views of modernization efforts </w:t>
      </w:r>
      <w:hyperlink r:id="rId18">
        <w:r>
          <w:rPr>
            <w:rFonts w:ascii="Times New Roman" w:hAnsi="Times New Roman"/>
            <w:sz w:val="24"/>
            <w:color w:val="000000"/>
          </w:rPr>
          <w:t>(Campbell et al., 2020)</w:t>
        </w:r>
      </w:hyperlink>
      <w:r>
        <w:rPr>
          <w:rFonts w:ascii="Times New Roman" w:hAnsi="Times New Roman"/>
          <w:sz w:val="24"/>
        </w:rPr>
        <w:t xml:space="preserve">. To counteract these limitations, the study seeks maximum variation within the purposive sample by including participants from different branches (e.g., army, air force), functional roles (operations, logistics, procurement), and career backgrounds, thereby capturing a wider spectrum of perspectives </w:t>
      </w:r>
      <w:hyperlink r:id="rId19">
        <w:r>
          <w:rPr>
            <w:rFonts w:ascii="Times New Roman" w:hAnsi="Times New Roman"/>
            <w:sz w:val="24"/>
            <w:color w:val="000000"/>
          </w:rPr>
          <w:t>(Fletcher et al., 2021)</w:t>
        </w:r>
      </w:hyperlink>
      <w:r>
        <w:rPr>
          <w:rFonts w:ascii="Times New Roman" w:hAnsi="Times New Roman"/>
          <w:sz w:val="24"/>
        </w:rPr>
        <w:t>.</w:t>
      </w:r>
    </w:p>
    <w:p>
      <w:pPr>
        <w:jc w:val="both"/>
      </w:pPr>
      <w:r>
        <w:rPr>
          <w:rFonts w:ascii="Times New Roman" w:hAnsi="Times New Roman"/>
          <w:sz w:val="24"/>
        </w:rPr>
        <w:t xml:space="preserve">The sample size is determined by the principle of data saturation, where recruitment continues until new interviews yield no significant new themes or insights relevant to the research questions </w:t>
      </w:r>
      <w:hyperlink r:id="rId17">
        <w:r>
          <w:rPr>
            <w:rFonts w:ascii="Times New Roman" w:hAnsi="Times New Roman"/>
            <w:sz w:val="24"/>
            <w:color w:val="000000"/>
          </w:rPr>
          <w:t>(Saunders et al., 2019)</w:t>
        </w:r>
      </w:hyperlink>
      <w:r>
        <w:rPr>
          <w:rFonts w:ascii="Times New Roman" w:hAnsi="Times New Roman"/>
          <w:sz w:val="24"/>
        </w:rPr>
        <w:t xml:space="preserve">. A preliminary target of 15-25 participants is set, which is consistent with typical qualitative case study research aiming for depth over breadth </w:t>
      </w:r>
      <w:hyperlink r:id="rId19">
        <w:r>
          <w:rPr>
            <w:rFonts w:ascii="Times New Roman" w:hAnsi="Times New Roman"/>
            <w:sz w:val="24"/>
            <w:color w:val="000000"/>
          </w:rPr>
          <w:t>(Fletcher et al., 2021)</w:t>
        </w:r>
      </w:hyperlink>
      <w:r>
        <w:rPr>
          <w:rFonts w:ascii="Times New Roman" w:hAnsi="Times New Roman"/>
          <w:sz w:val="24"/>
        </w:rPr>
        <w:t xml:space="preserve">. This flexible, iterative approach allows the sampling to be refined as the study progresses, ensuring the most informative participants are included to build a robust, nuanced understanding of the case </w:t>
      </w:r>
      <w:hyperlink r:id="rId18">
        <w:r>
          <w:rPr>
            <w:rFonts w:ascii="Times New Roman" w:hAnsi="Times New Roman"/>
            <w:sz w:val="24"/>
            <w:color w:val="000000"/>
          </w:rPr>
          <w:t>(Campbell et al., 2020)</w:t>
        </w:r>
      </w:hyperlink>
      <w:r>
        <w:rPr>
          <w:rFonts w:ascii="Times New Roman" w:hAnsi="Times New Roman"/>
          <w:sz w:val="24"/>
        </w:rPr>
        <w:t xml:space="preserve">. Ultimately, the sampling design is tailored to generate the rich, contextual data required to analyze the complex role of technology in strengthening national defence capabilities </w:t>
      </w:r>
      <w:hyperlink r:id="rId17">
        <w:r>
          <w:rPr>
            <w:rFonts w:ascii="Times New Roman" w:hAnsi="Times New Roman"/>
            <w:sz w:val="24"/>
            <w:color w:val="000000"/>
          </w:rPr>
          <w:t>(Saunders et al., 2019)</w:t>
        </w:r>
      </w:hyperlink>
      <w:r>
        <w:rPr>
          <w:rFonts w:ascii="Times New Roman" w:hAnsi="Times New Roman"/>
          <w:sz w:val="24"/>
        </w:rPr>
        <w:t>.</w:t>
      </w:r>
    </w:p>
    <w:p>
      <w:pPr>
        <w:pStyle w:val="Heading2"/>
      </w:pPr>
      <w:r>
        <w:rPr>
          <w:b/>
          <w:color w:val="000000"/>
        </w:rPr>
        <w:t>3.7 Sample Size</w:t>
      </w:r>
    </w:p>
    <w:p>
      <w:pPr>
        <w:jc w:val="both"/>
      </w:pPr>
      <w:r>
        <w:rPr>
          <w:rFonts w:ascii="Times New Roman" w:hAnsi="Times New Roman"/>
          <w:sz w:val="24"/>
        </w:rPr>
        <w:t xml:space="preserve">Sample size, as defined by Krejcie and Morgan (1970), refers to the number of observations or cases selected from a population to constitute a representative subset for statistical analysis </w:t>
      </w:r>
      <w:hyperlink r:id="rId20">
        <w:r>
          <w:rPr>
            <w:rFonts w:ascii="Times New Roman" w:hAnsi="Times New Roman"/>
            <w:sz w:val="24"/>
            <w:color w:val="000000"/>
          </w:rPr>
          <w:t>(Krejcie &amp; Morgan, 1970)</w:t>
        </w:r>
      </w:hyperlink>
      <w:r>
        <w:rPr>
          <w:rFonts w:ascii="Times New Roman" w:hAnsi="Times New Roman"/>
          <w:sz w:val="24"/>
        </w:rPr>
        <w:t xml:space="preserve">. This concept is foundational to quantitative research design, as an appropriately determined sample ensures the reliability and generalisability of findings whilst controlling for resource constraints </w:t>
      </w:r>
      <w:hyperlink r:id="rId21">
        <w:r>
          <w:rPr>
            <w:rFonts w:ascii="Times New Roman" w:hAnsi="Times New Roman"/>
            <w:sz w:val="24"/>
            <w:color w:val="000000"/>
          </w:rPr>
          <w:t>(Yamane, 1967)</w:t>
        </w:r>
      </w:hyperlink>
      <w:r>
        <w:rPr>
          <w:rFonts w:ascii="Times New Roman" w:hAnsi="Times New Roman"/>
          <w:sz w:val="24"/>
        </w:rPr>
        <w:t xml:space="preserve">. An inadequate sample can lead to Type II errors, where genuine effects or relationships within the population are missed, thereby compromising the validity of the study’s conclusions </w:t>
      </w:r>
      <w:hyperlink r:id="rId22">
        <w:r>
          <w:rPr>
            <w:rFonts w:ascii="Times New Roman" w:hAnsi="Times New Roman"/>
            <w:sz w:val="24"/>
            <w:color w:val="000000"/>
          </w:rPr>
          <w:t>(Cochran, 1977)</w:t>
        </w:r>
      </w:hyperlink>
      <w:r>
        <w:rPr>
          <w:rFonts w:ascii="Times New Roman" w:hAnsi="Times New Roman"/>
          <w:sz w:val="24"/>
        </w:rPr>
        <w:t>. Consequently, meticulous sample size determination was a critical preliminary step in this investigation into modern military technology in South Sudan.</w:t>
      </w:r>
    </w:p>
    <w:p>
      <w:pPr>
        <w:jc w:val="both"/>
      </w:pPr>
      <w:r>
        <w:rPr>
          <w:rFonts w:ascii="Times New Roman" w:hAnsi="Times New Roman"/>
          <w:sz w:val="24"/>
        </w:rPr>
        <w:t xml:space="preserve">The selection of an appropriate formula for sample size calculation was contingent upon the study’s design and the characteristics of the target population. Given that this research involved surveying a finite and known population of defence personnel and relevant experts within South Sudan’s security sector, formulae designed for infinite populations, such as that proposed by Cochran (1977), were deemed unsuitable </w:t>
      </w:r>
      <w:hyperlink r:id="rId22">
        <w:r>
          <w:rPr>
            <w:rFonts w:ascii="Times New Roman" w:hAnsi="Times New Roman"/>
            <w:sz w:val="24"/>
            <w:color w:val="000000"/>
          </w:rPr>
          <w:t>(Cochran, 1977)</w:t>
        </w:r>
      </w:hyperlink>
      <w:r>
        <w:rPr>
          <w:rFonts w:ascii="Times New Roman" w:hAnsi="Times New Roman"/>
          <w:sz w:val="24"/>
        </w:rPr>
        <w:t xml:space="preserve">. Similarly, a power analysis, often associated with experimental designs to detect effect sizes, was not the primary method as the study was largely correlational and descriptive in nature </w:t>
      </w:r>
      <w:hyperlink r:id="rId23">
        <w:r>
          <w:rPr>
            <w:rFonts w:ascii="Times New Roman" w:hAnsi="Times New Roman"/>
            <w:sz w:val="24"/>
            <w:color w:val="000000"/>
          </w:rPr>
          <w:t>(Cohen, 1988)</w:t>
        </w:r>
      </w:hyperlink>
      <w:r>
        <w:rPr>
          <w:rFonts w:ascii="Times New Roman" w:hAnsi="Times New Roman"/>
          <w:sz w:val="24"/>
        </w:rPr>
        <w:t xml:space="preserve">. Therefore, Yamane’s (1967) simplified formula for finite populations was adopted for its clarity and widespread application in similar survey-based social research where the total population size (N) is accessible </w:t>
      </w:r>
      <w:hyperlink r:id="rId21">
        <w:r>
          <w:rPr>
            <w:rFonts w:ascii="Times New Roman" w:hAnsi="Times New Roman"/>
            <w:sz w:val="24"/>
            <w:color w:val="000000"/>
          </w:rPr>
          <w:t>(Yamane, 1967)</w:t>
        </w:r>
      </w:hyperlink>
      <w:r>
        <w:rPr>
          <w:rFonts w:ascii="Times New Roman" w:hAnsi="Times New Roman"/>
          <w:sz w:val="24"/>
        </w:rPr>
        <w:t>.</w:t>
      </w:r>
    </w:p>
    <w:p>
      <w:pPr>
        <w:jc w:val="both"/>
      </w:pPr>
      <w:r>
        <w:rPr>
          <w:rFonts w:ascii="Times New Roman" w:hAnsi="Times New Roman"/>
          <w:sz w:val="24"/>
        </w:rPr>
        <w:t>The chosen formula for calculating the sample size was as follows:</w:t>
      </w:r>
    </w:p>
    <w:p>
      <w:pPr>
        <w:jc w:val="center"/>
      </w:pPr>
      <m:oMath>
        <m:box>
          <m:e>
            <m:r>
              <m:rPr>
                <m:sty m:val="i"/>
              </m:rPr>
              <m:t>n</m:t>
            </m:r>
            <m:r>
              <m:rPr>
                <m:sty m:val="p"/>
              </m:rPr>
              <m:t>=</m:t>
            </m:r>
            <m:f>
              <m:num>
                <m:box>
                  <m:e>
                    <m:r>
                      <m:rPr>
                        <m:sty m:val="i"/>
                      </m:rPr>
                      <m:t>N</m:t>
                    </m:r>
                  </m:e>
                </m:box>
              </m:num>
              <m:den>
                <m:box>
                  <m:e>
                    <m:r>
                      <m:rPr>
                        <m:sty m:val="p"/>
                      </m:rPr>
                      <m:t>1</m:t>
                    </m:r>
                    <m:r>
                      <m:rPr>
                        <m:sty m:val="p"/>
                      </m:rPr>
                      <m:t>+</m:t>
                    </m:r>
                    <m:r>
                      <m:rPr>
                        <m:sty m:val="i"/>
                      </m:rPr>
                      <m:t>N</m:t>
                    </m:r>
                    <m:r>
                      <m:rPr>
                        <m:sty m:val="p"/>
                      </m:rPr>
                      <m:t>(</m:t>
                    </m:r>
                    <m:r>
                      <m:rPr>
                        <m:sty m:val="i"/>
                      </m:rPr>
                      <m:t>e</m:t>
                    </m:r>
                    <m:sSup>
                      <m:e>
                        <m:r>
                          <m:rPr>
                            <m:sty m:val="p"/>
                          </m:rPr>
                          <m:t>)</m:t>
                        </m:r>
                      </m:e>
                      <m:sup>
                        <m:r>
                          <m:rPr>
                            <m:sty m:val="p"/>
                          </m:rPr>
                          <m:t>2</m:t>
                        </m:r>
                      </m:sup>
                    </m:sSup>
                  </m:e>
                </m:box>
              </m:den>
            </m:f>
          </m:e>
        </m:box>
      </m:oMath>
    </w:p>
    <w:p>
      <w:pPr>
        <w:jc w:val="both"/>
      </w:pPr>
      <w:r>
        <w:rPr>
          <w:rFonts w:ascii="Times New Roman" w:hAnsi="Times New Roman"/>
          <w:sz w:val="24"/>
        </w:rPr>
        <w:t>Where:</w:t>
      </w:r>
    </w:p>
    <w:p>
      <w:pPr>
        <w:pStyle w:val="ListBullet"/>
        <w:jc w:val="both"/>
      </w:pPr>
      <w:r>
        <w:rPr>
          <w:rFonts w:ascii="Times New Roman" w:hAnsi="Times New Roman"/>
          <w:sz w:val="24"/>
        </w:rPr>
        <w:t>*n* = required sample size</w:t>
      </w:r>
    </w:p>
    <w:p>
      <w:pPr>
        <w:pStyle w:val="ListBullet"/>
        <w:jc w:val="both"/>
      </w:pPr>
      <w:r>
        <w:rPr>
          <w:rFonts w:ascii="Times New Roman" w:hAnsi="Times New Roman"/>
          <w:sz w:val="24"/>
        </w:rPr>
        <w:t>*N* = total population size</w:t>
      </w:r>
    </w:p>
    <w:p>
      <w:pPr>
        <w:pStyle w:val="ListBullet"/>
        <w:jc w:val="both"/>
      </w:pPr>
      <w:r>
        <w:rPr>
          <w:rFonts w:ascii="Times New Roman" w:hAnsi="Times New Roman"/>
          <w:sz w:val="24"/>
        </w:rPr>
        <w:t>*e* = margin of error (typically set at 0.05 for a 95% confidence level)</w:t>
      </w:r>
    </w:p>
    <w:p>
      <w:pPr>
        <w:jc w:val="both"/>
      </w:pPr>
      <w:r>
        <w:rPr>
          <w:rFonts w:ascii="Times New Roman" w:hAnsi="Times New Roman"/>
          <w:sz w:val="24"/>
        </w:rPr>
        <w:t>The calculation proceeded step-by-step based on an estimated total population (N) of 8,250 individuals, comprising senior military officers, mid-level commanders, technical personnel, and civilian defence analysts within the relevant institutions.</w:t>
      </w:r>
    </w:p>
    <w:p>
      <w:pPr>
        <w:jc w:val="both"/>
      </w:pPr>
      <w:r>
        <w:rPr>
          <w:rFonts w:ascii="Times New Roman" w:hAnsi="Times New Roman"/>
          <w:b/>
          <w:sz w:val="24"/>
        </w:rPr>
        <w:t>Step 1:</w:t>
      </w:r>
      <w:r>
        <w:rPr>
          <w:rFonts w:ascii="Times New Roman" w:hAnsi="Times New Roman"/>
          <w:sz w:val="24"/>
        </w:rPr>
        <w:t xml:space="preserve"> Substitute values</w:t>
      </w:r>
    </w:p>
    <w:p>
      <w:pPr>
        <w:jc w:val="center"/>
      </w:pPr>
      <m:oMath>
        <m:box>
          <m:e>
            <m:r>
              <m:rPr>
                <m:sty m:val="i"/>
              </m:rPr>
              <m:t>n</m:t>
            </m:r>
            <m:r>
              <m:rPr>
                <m:sty m:val="p"/>
              </m:rPr>
              <m:t>=</m:t>
            </m:r>
            <m:f>
              <m:num>
                <m:box>
                  <m:e>
                    <m:r>
                      <m:rPr>
                        <m:sty m:val="p"/>
                      </m:rPr>
                      <m:t>8</m:t>
                    </m:r>
                    <m:r>
                      <m:rPr>
                        <m:sty m:val="p"/>
                      </m:rPr>
                      <m:t>,</m:t>
                    </m:r>
                    <m:r>
                      <m:rPr>
                        <m:sty m:val="p"/>
                      </m:rPr>
                      <m:t>250</m:t>
                    </m:r>
                  </m:e>
                </m:box>
              </m:num>
              <m:den>
                <m:box>
                  <m:e>
                    <m:r>
                      <m:rPr>
                        <m:sty m:val="p"/>
                      </m:rPr>
                      <m:t>1</m:t>
                    </m:r>
                    <m:r>
                      <m:rPr>
                        <m:sty m:val="p"/>
                      </m:rPr>
                      <m:t>+</m:t>
                    </m:r>
                    <m:r>
                      <m:rPr>
                        <m:sty m:val="p"/>
                      </m:rPr>
                      <m:t>8</m:t>
                    </m:r>
                    <m:r>
                      <m:rPr>
                        <m:sty m:val="p"/>
                      </m:rPr>
                      <m:t>,</m:t>
                    </m:r>
                    <m:r>
                      <m:rPr>
                        <m:sty m:val="p"/>
                      </m:rPr>
                      <m:t>250</m:t>
                    </m:r>
                    <m:r>
                      <m:rPr>
                        <m:sty m:val="p"/>
                      </m:rPr>
                      <m:t>(</m:t>
                    </m:r>
                    <m:r>
                      <m:rPr>
                        <m:sty m:val="p"/>
                      </m:rPr>
                      <m:t>0.05</m:t>
                    </m:r>
                    <m:sSup>
                      <m:e>
                        <m:r>
                          <m:rPr>
                            <m:sty m:val="p"/>
                          </m:rPr>
                          <m:t>)</m:t>
                        </m:r>
                      </m:e>
                      <m:sup>
                        <m:r>
                          <m:rPr>
                            <m:sty m:val="p"/>
                          </m:rPr>
                          <m:t>2</m:t>
                        </m:r>
                      </m:sup>
                    </m:sSup>
                  </m:e>
                </m:box>
              </m:den>
            </m:f>
          </m:e>
        </m:box>
      </m:oMath>
    </w:p>
    <w:p>
      <w:pPr>
        <w:jc w:val="both"/>
      </w:pPr>
      <w:r>
        <w:rPr>
          <w:rFonts w:ascii="Times New Roman" w:hAnsi="Times New Roman"/>
          <w:b/>
          <w:sz w:val="24"/>
        </w:rPr>
        <w:t>Step 2:</w:t>
      </w:r>
      <w:r>
        <w:rPr>
          <w:rFonts w:ascii="Times New Roman" w:hAnsi="Times New Roman"/>
          <w:sz w:val="24"/>
        </w:rPr>
        <w:t xml:space="preserve"> Calculate exponent</w:t>
      </w:r>
    </w:p>
    <w:p>
      <w:pPr>
        <w:jc w:val="center"/>
      </w:pPr>
      <m:oMath>
        <m:box>
          <m:e>
            <m:r>
              <m:rPr>
                <m:sty m:val="i"/>
              </m:rPr>
              <m:t>n</m:t>
            </m:r>
            <m:r>
              <m:rPr>
                <m:sty m:val="p"/>
              </m:rPr>
              <m:t>=</m:t>
            </m:r>
            <m:f>
              <m:num>
                <m:box>
                  <m:e>
                    <m:r>
                      <m:rPr>
                        <m:sty m:val="p"/>
                      </m:rPr>
                      <m:t>8</m:t>
                    </m:r>
                    <m:r>
                      <m:rPr>
                        <m:sty m:val="p"/>
                      </m:rPr>
                      <m:t>,</m:t>
                    </m:r>
                    <m:r>
                      <m:rPr>
                        <m:sty m:val="p"/>
                      </m:rPr>
                      <m:t>250</m:t>
                    </m:r>
                  </m:e>
                </m:box>
              </m:num>
              <m:den>
                <m:box>
                  <m:e>
                    <m:r>
                      <m:rPr>
                        <m:sty m:val="p"/>
                      </m:rPr>
                      <m:t>1</m:t>
                    </m:r>
                    <m:r>
                      <m:rPr>
                        <m:sty m:val="p"/>
                      </m:rPr>
                      <m:t>+</m:t>
                    </m:r>
                    <m:r>
                      <m:rPr>
                        <m:sty m:val="p"/>
                      </m:rPr>
                      <m:t>8</m:t>
                    </m:r>
                    <m:r>
                      <m:rPr>
                        <m:sty m:val="p"/>
                      </m:rPr>
                      <m:t>,</m:t>
                    </m:r>
                    <m:r>
                      <m:rPr>
                        <m:sty m:val="p"/>
                      </m:rPr>
                      <m:t>250</m:t>
                    </m:r>
                    <m:r>
                      <m:rPr>
                        <m:sty m:val="p"/>
                      </m:rPr>
                      <m:t>(</m:t>
                    </m:r>
                    <m:r>
                      <m:rPr>
                        <m:sty m:val="p"/>
                      </m:rPr>
                      <m:t>0.0025</m:t>
                    </m:r>
                    <m:r>
                      <m:rPr>
                        <m:sty m:val="p"/>
                      </m:rPr>
                      <m:t>)</m:t>
                    </m:r>
                  </m:e>
                </m:box>
              </m:den>
            </m:f>
          </m:e>
        </m:box>
      </m:oMath>
    </w:p>
    <w:p>
      <w:pPr>
        <w:jc w:val="both"/>
      </w:pPr>
      <w:r>
        <w:rPr>
          <w:rFonts w:ascii="Times New Roman" w:hAnsi="Times New Roman"/>
          <w:b/>
          <w:sz w:val="24"/>
        </w:rPr>
        <w:t>Step 3:</w:t>
      </w:r>
      <w:r>
        <w:rPr>
          <w:rFonts w:ascii="Times New Roman" w:hAnsi="Times New Roman"/>
          <w:sz w:val="24"/>
        </w:rPr>
        <w:t xml:space="preserve"> Multiply in denominator</w:t>
      </w:r>
    </w:p>
    <w:p>
      <w:pPr>
        <w:jc w:val="center"/>
      </w:pPr>
      <m:oMath>
        <m:box>
          <m:e>
            <m:r>
              <m:rPr>
                <m:sty m:val="i"/>
              </m:rPr>
              <m:t>n</m:t>
            </m:r>
            <m:r>
              <m:rPr>
                <m:sty m:val="p"/>
              </m:rPr>
              <m:t>=</m:t>
            </m:r>
            <m:f>
              <m:num>
                <m:box>
                  <m:e>
                    <m:r>
                      <m:rPr>
                        <m:sty m:val="p"/>
                      </m:rPr>
                      <m:t>8</m:t>
                    </m:r>
                    <m:r>
                      <m:rPr>
                        <m:sty m:val="p"/>
                      </m:rPr>
                      <m:t>,</m:t>
                    </m:r>
                    <m:r>
                      <m:rPr>
                        <m:sty m:val="p"/>
                      </m:rPr>
                      <m:t>250</m:t>
                    </m:r>
                  </m:e>
                </m:box>
              </m:num>
              <m:den>
                <m:box>
                  <m:e>
                    <m:r>
                      <m:rPr>
                        <m:sty m:val="p"/>
                      </m:rPr>
                      <m:t>1</m:t>
                    </m:r>
                    <m:r>
                      <m:rPr>
                        <m:sty m:val="p"/>
                      </m:rPr>
                      <m:t>+</m:t>
                    </m:r>
                    <m:r>
                      <m:rPr>
                        <m:sty m:val="p"/>
                      </m:rPr>
                      <m:t>20.625</m:t>
                    </m:r>
                  </m:e>
                </m:box>
              </m:den>
            </m:f>
          </m:e>
        </m:box>
      </m:oMath>
    </w:p>
    <w:p>
      <w:pPr>
        <w:jc w:val="both"/>
      </w:pPr>
      <w:r>
        <w:rPr>
          <w:rFonts w:ascii="Times New Roman" w:hAnsi="Times New Roman"/>
          <w:b/>
          <w:sz w:val="24"/>
        </w:rPr>
        <w:t>Step 4:</w:t>
      </w:r>
      <w:r>
        <w:rPr>
          <w:rFonts w:ascii="Times New Roman" w:hAnsi="Times New Roman"/>
          <w:sz w:val="24"/>
        </w:rPr>
        <w:t xml:space="preserve"> Add in denominator</w:t>
      </w:r>
    </w:p>
    <w:p>
      <w:pPr>
        <w:jc w:val="center"/>
      </w:pPr>
      <m:oMath>
        <m:box>
          <m:e>
            <m:r>
              <m:rPr>
                <m:sty m:val="i"/>
              </m:rPr>
              <m:t>n</m:t>
            </m:r>
            <m:r>
              <m:rPr>
                <m:sty m:val="p"/>
              </m:rPr>
              <m:t>=</m:t>
            </m:r>
            <m:f>
              <m:num>
                <m:box>
                  <m:e>
                    <m:r>
                      <m:rPr>
                        <m:sty m:val="p"/>
                      </m:rPr>
                      <m:t>8</m:t>
                    </m:r>
                    <m:r>
                      <m:rPr>
                        <m:sty m:val="p"/>
                      </m:rPr>
                      <m:t>,</m:t>
                    </m:r>
                    <m:r>
                      <m:rPr>
                        <m:sty m:val="p"/>
                      </m:rPr>
                      <m:t>250</m:t>
                    </m:r>
                  </m:e>
                </m:box>
              </m:num>
              <m:den>
                <m:box>
                  <m:e>
                    <m:r>
                      <m:rPr>
                        <m:sty m:val="p"/>
                      </m:rPr>
                      <m:t>21.625</m:t>
                    </m:r>
                  </m:e>
                </m:box>
              </m:den>
            </m:f>
          </m:e>
        </m:box>
      </m:oMath>
    </w:p>
    <w:p>
      <w:pPr>
        <w:jc w:val="both"/>
      </w:pPr>
      <w:r>
        <w:rPr>
          <w:rFonts w:ascii="Times New Roman" w:hAnsi="Times New Roman"/>
          <w:b/>
          <w:sz w:val="24"/>
        </w:rPr>
        <w:t>Step 5:</w:t>
      </w:r>
      <w:r>
        <w:rPr>
          <w:rFonts w:ascii="Times New Roman" w:hAnsi="Times New Roman"/>
          <w:sz w:val="24"/>
        </w:rPr>
        <w:t xml:space="preserve"> Perform division</w:t>
      </w:r>
    </w:p>
    <w:p>
      <w:pPr>
        <w:jc w:val="center"/>
      </w:pPr>
      <m:oMath>
        <m:box>
          <m:e>
            <m:r>
              <m:rPr>
                <m:sty m:val="i"/>
              </m:rPr>
              <m:t>n</m:t>
            </m:r>
            <m:r>
              <m:rPr>
                <m:sty m:val="p"/>
              </m:rPr>
              <m:t>=</m:t>
            </m:r>
            <m:r>
              <m:rPr>
                <m:sty m:val="p"/>
              </m:rPr>
              <m:t>381.50</m:t>
            </m:r>
          </m:e>
        </m:box>
      </m:oMath>
    </w:p>
    <w:p>
      <w:pPr>
        <w:jc w:val="both"/>
      </w:pPr>
      <w:r>
        <w:rPr>
          <w:rFonts w:ascii="Times New Roman" w:hAnsi="Times New Roman"/>
          <w:b/>
          <w:sz w:val="24"/>
        </w:rPr>
        <w:t>Step 6:</w:t>
      </w:r>
      <w:r>
        <w:rPr>
          <w:rFonts w:ascii="Times New Roman" w:hAnsi="Times New Roman"/>
          <w:sz w:val="24"/>
        </w:rPr>
        <w:t xml:space="preserve"> Round up to whole number</w:t>
      </w:r>
    </w:p>
    <w:p>
      <w:pPr>
        <w:jc w:val="center"/>
      </w:pPr>
      <m:oMath>
        <m:box>
          <m:e>
            <m:r>
              <m:rPr>
                <m:sty m:val="i"/>
              </m:rPr>
              <m:t>n</m:t>
            </m:r>
            <m:r>
              <m:rPr>
                <m:sty m:val="p"/>
              </m:rPr>
              <m:t>=</m:t>
            </m:r>
            <m:r>
              <m:rPr>
                <m:sty m:val="p"/>
              </m:rPr>
              <m:t>382</m:t>
            </m:r>
          </m:e>
        </m:box>
      </m:oMath>
    </w:p>
    <w:p>
      <w:pPr>
        <w:jc w:val="both"/>
      </w:pPr>
      <w:r>
        <w:rPr>
          <w:rFonts w:ascii="Times New Roman" w:hAnsi="Times New Roman"/>
          <w:sz w:val="24"/>
        </w:rPr>
        <w:t>Therefore, the minimum required sample size was 382 respondents.</w:t>
      </w:r>
    </w:p>
    <w:p>
      <w:pPr>
        <w:jc w:val="both"/>
      </w:pPr>
      <w:r>
        <w:rPr>
          <w:rFonts w:ascii="Times New Roman" w:hAnsi="Times New Roman"/>
          <w:sz w:val="24"/>
        </w:rPr>
        <w:t xml:space="preserve">A sample of 382 was considered adequate to achieve a confidence level of 95% with a 5% margin of error, which aligns with conventional standards for social science research </w:t>
      </w:r>
      <w:hyperlink r:id="rId20">
        <w:r>
          <w:rPr>
            <w:rFonts w:ascii="Times New Roman" w:hAnsi="Times New Roman"/>
            <w:sz w:val="24"/>
            <w:color w:val="000000"/>
          </w:rPr>
          <w:t>(Krejcie &amp; Morgan, 1970)</w:t>
        </w:r>
      </w:hyperlink>
      <w:r>
        <w:rPr>
          <w:rFonts w:ascii="Times New Roman" w:hAnsi="Times New Roman"/>
          <w:sz w:val="24"/>
        </w:rPr>
        <w:t xml:space="preserve">. This size provides sufficient statistical power to detect significant relationships and trends regarding the adoption and impact of modern military technology, such as unmanned aerial systems and secure communication networks, within the defence sector </w:t>
      </w:r>
      <w:hyperlink r:id="rId21">
        <w:r>
          <w:rPr>
            <w:rFonts w:ascii="Times New Roman" w:hAnsi="Times New Roman"/>
            <w:sz w:val="24"/>
            <w:color w:val="000000"/>
          </w:rPr>
          <w:t>(Yamane, 1967)</w:t>
        </w:r>
      </w:hyperlink>
      <w:r>
        <w:rPr>
          <w:rFonts w:ascii="Times New Roman" w:hAnsi="Times New Roman"/>
          <w:sz w:val="24"/>
        </w:rPr>
        <w:t xml:space="preserve">. The calculation inherently balances precision with practical feasibility, a necessary consideration in field research within complex operational environments </w:t>
      </w:r>
      <w:hyperlink r:id="rId22">
        <w:r>
          <w:rPr>
            <w:rFonts w:ascii="Times New Roman" w:hAnsi="Times New Roman"/>
            <w:sz w:val="24"/>
            <w:color w:val="000000"/>
          </w:rPr>
          <w:t>(Cochran, 1977)</w:t>
        </w:r>
      </w:hyperlink>
      <w:r>
        <w:rPr>
          <w:rFonts w:ascii="Times New Roman" w:hAnsi="Times New Roman"/>
          <w:sz w:val="24"/>
        </w:rPr>
        <w:t>.</w:t>
      </w:r>
    </w:p>
    <w:p>
      <w:pPr>
        <w:jc w:val="both"/>
      </w:pPr>
      <w:r>
        <w:rPr>
          <w:rFonts w:ascii="Times New Roman" w:hAnsi="Times New Roman"/>
          <w:sz w:val="24"/>
        </w:rPr>
        <w:t>To ensure representativeness across key subgroups within the defence community, proportional stratified random sampling was employed. The sample was distributed according to the following strata:</w:t>
      </w:r>
    </w:p>
    <w:p>
      <w:pPr>
        <w:jc w:val="both"/>
      </w:pPr>
      <w:r>
        <w:rPr>
          <w:rFonts w:ascii="Times New Roman" w:hAnsi="Times New Roman"/>
          <w:b/>
          <w:sz w:val="24"/>
        </w:rPr>
        <w:t>Table 3.7: Sample Size Distribution by Stratum</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jc w:val="left"/>
            </w:pPr>
            <w:r>
              <w:rPr>
                <w:rFonts w:ascii="Times New Roman" w:hAnsi="Times New Roman"/>
                <w:sz w:val="22"/>
              </w:rPr>
              <w:t>Strata/Category</w:t>
            </w:r>
          </w:p>
        </w:tc>
        <w:tc>
          <w:tcPr>
            <w:tcW w:type="dxa" w:w="1872"/>
          </w:tcPr>
          <w:p>
            <w:pPr>
              <w:jc w:val="left"/>
            </w:pPr>
            <w:r>
              <w:rPr>
                <w:rFonts w:ascii="Times New Roman" w:hAnsi="Times New Roman"/>
                <w:sz w:val="22"/>
              </w:rPr>
              <w:t>Population (N)</w:t>
            </w:r>
          </w:p>
        </w:tc>
        <w:tc>
          <w:tcPr>
            <w:tcW w:type="dxa" w:w="1872"/>
          </w:tcPr>
          <w:p>
            <w:pPr>
              <w:jc w:val="left"/>
            </w:pPr>
            <w:r>
              <w:rPr>
                <w:rFonts w:ascii="Times New Roman" w:hAnsi="Times New Roman"/>
                <w:sz w:val="22"/>
              </w:rPr>
              <w:t>Proportion</w:t>
            </w:r>
          </w:p>
        </w:tc>
        <w:tc>
          <w:tcPr>
            <w:tcW w:type="dxa" w:w="1872"/>
          </w:tcPr>
          <w:p>
            <w:pPr>
              <w:jc w:val="left"/>
            </w:pPr>
            <w:r>
              <w:rPr>
                <w:rFonts w:ascii="Times New Roman" w:hAnsi="Times New Roman"/>
                <w:sz w:val="22"/>
              </w:rPr>
              <w:t>Sample Size (n)</w:t>
            </w:r>
          </w:p>
        </w:tc>
        <w:tc>
          <w:tcPr>
            <w:tcW w:type="dxa" w:w="1872"/>
          </w:tcPr>
          <w:p>
            <w:pPr>
              <w:jc w:val="left"/>
            </w:pPr>
            <w:r>
              <w:rPr>
                <w:rFonts w:ascii="Times New Roman" w:hAnsi="Times New Roman"/>
                <w:sz w:val="22"/>
              </w:rPr>
              <w:t>Sampling Method</w:t>
            </w:r>
          </w:p>
        </w:tc>
      </w:tr>
      <w:tr>
        <w:tc>
          <w:tcPr>
            <w:tcW w:type="dxa" w:w="1872"/>
          </w:tcPr>
          <w:p>
            <w:pPr>
              <w:jc w:val="left"/>
            </w:pPr>
            <w:r>
              <w:rPr>
                <w:rFonts w:ascii="Times New Roman" w:hAnsi="Times New Roman"/>
                <w:sz w:val="22"/>
              </w:rPr>
              <w:t>Senior Military Command (SPLA &amp; Security Organs)</w:t>
            </w:r>
          </w:p>
        </w:tc>
        <w:tc>
          <w:tcPr>
            <w:tcW w:type="dxa" w:w="1872"/>
          </w:tcPr>
          <w:p>
            <w:pPr>
              <w:jc w:val="left"/>
            </w:pPr>
            <w:r>
              <w:rPr>
                <w:rFonts w:ascii="Times New Roman" w:hAnsi="Times New Roman"/>
                <w:sz w:val="22"/>
              </w:rPr>
              <w:t>950</w:t>
            </w:r>
          </w:p>
        </w:tc>
        <w:tc>
          <w:tcPr>
            <w:tcW w:type="dxa" w:w="1872"/>
          </w:tcPr>
          <w:p>
            <w:pPr>
              <w:jc w:val="left"/>
            </w:pPr>
            <w:r>
              <w:rPr>
                <w:rFonts w:ascii="Times New Roman" w:hAnsi="Times New Roman"/>
                <w:sz w:val="22"/>
              </w:rPr>
              <w:t>0.115</w:t>
            </w:r>
          </w:p>
        </w:tc>
        <w:tc>
          <w:tcPr>
            <w:tcW w:type="dxa" w:w="1872"/>
          </w:tcPr>
          <w:p>
            <w:pPr>
              <w:jc w:val="left"/>
            </w:pPr>
            <w:r>
              <w:rPr>
                <w:rFonts w:ascii="Times New Roman" w:hAnsi="Times New Roman"/>
                <w:sz w:val="22"/>
              </w:rPr>
              <w:t>44</w:t>
            </w:r>
          </w:p>
        </w:tc>
        <w:tc>
          <w:tcPr>
            <w:tcW w:type="dxa" w:w="1872"/>
          </w:tcPr>
          <w:p>
            <w:pPr>
              <w:jc w:val="left"/>
            </w:pPr>
            <w:r>
              <w:rPr>
                <w:rFonts w:ascii="Times New Roman" w:hAnsi="Times New Roman"/>
                <w:sz w:val="22"/>
              </w:rPr>
              <w:t>Stratified random</w:t>
            </w:r>
          </w:p>
        </w:tc>
      </w:tr>
      <w:tr>
        <w:tc>
          <w:tcPr>
            <w:tcW w:type="dxa" w:w="1872"/>
          </w:tcPr>
          <w:p>
            <w:pPr>
              <w:jc w:val="left"/>
            </w:pPr>
            <w:r>
              <w:rPr>
                <w:rFonts w:ascii="Times New Roman" w:hAnsi="Times New Roman"/>
                <w:sz w:val="22"/>
              </w:rPr>
              <w:t>Mid-Level Officers &amp; Technical Personnel</w:t>
            </w:r>
          </w:p>
        </w:tc>
        <w:tc>
          <w:tcPr>
            <w:tcW w:type="dxa" w:w="1872"/>
          </w:tcPr>
          <w:p>
            <w:pPr>
              <w:jc w:val="left"/>
            </w:pPr>
            <w:r>
              <w:rPr>
                <w:rFonts w:ascii="Times New Roman" w:hAnsi="Times New Roman"/>
                <w:sz w:val="22"/>
              </w:rPr>
              <w:t>4,850</w:t>
            </w:r>
          </w:p>
        </w:tc>
        <w:tc>
          <w:tcPr>
            <w:tcW w:type="dxa" w:w="1872"/>
          </w:tcPr>
          <w:p>
            <w:pPr>
              <w:jc w:val="left"/>
            </w:pPr>
            <w:r>
              <w:rPr>
                <w:rFonts w:ascii="Times New Roman" w:hAnsi="Times New Roman"/>
                <w:sz w:val="22"/>
              </w:rPr>
              <w:t>0.588</w:t>
            </w:r>
          </w:p>
        </w:tc>
        <w:tc>
          <w:tcPr>
            <w:tcW w:type="dxa" w:w="1872"/>
          </w:tcPr>
          <w:p>
            <w:pPr>
              <w:jc w:val="left"/>
            </w:pPr>
            <w:r>
              <w:rPr>
                <w:rFonts w:ascii="Times New Roman" w:hAnsi="Times New Roman"/>
                <w:sz w:val="22"/>
              </w:rPr>
              <w:t>225</w:t>
            </w:r>
          </w:p>
        </w:tc>
        <w:tc>
          <w:tcPr>
            <w:tcW w:type="dxa" w:w="1872"/>
          </w:tcPr>
          <w:p>
            <w:pPr>
              <w:jc w:val="left"/>
            </w:pPr>
            <w:r>
              <w:rPr>
                <w:rFonts w:ascii="Times New Roman" w:hAnsi="Times New Roman"/>
                <w:sz w:val="22"/>
              </w:rPr>
              <w:t>Stratified random</w:t>
            </w:r>
          </w:p>
        </w:tc>
      </w:tr>
      <w:tr>
        <w:tc>
          <w:tcPr>
            <w:tcW w:type="dxa" w:w="1872"/>
          </w:tcPr>
          <w:p>
            <w:pPr>
              <w:jc w:val="left"/>
            </w:pPr>
            <w:r>
              <w:rPr>
                <w:rFonts w:ascii="Times New Roman" w:hAnsi="Times New Roman"/>
                <w:sz w:val="22"/>
              </w:rPr>
              <w:t>Civilian Defence Analysts &amp; Ministry Officials</w:t>
            </w:r>
          </w:p>
        </w:tc>
        <w:tc>
          <w:tcPr>
            <w:tcW w:type="dxa" w:w="1872"/>
          </w:tcPr>
          <w:p>
            <w:pPr>
              <w:jc w:val="left"/>
            </w:pPr>
            <w:r>
              <w:rPr>
                <w:rFonts w:ascii="Times New Roman" w:hAnsi="Times New Roman"/>
                <w:sz w:val="22"/>
              </w:rPr>
              <w:t>2,450</w:t>
            </w:r>
          </w:p>
        </w:tc>
        <w:tc>
          <w:tcPr>
            <w:tcW w:type="dxa" w:w="1872"/>
          </w:tcPr>
          <w:p>
            <w:pPr>
              <w:jc w:val="left"/>
            </w:pPr>
            <w:r>
              <w:rPr>
                <w:rFonts w:ascii="Times New Roman" w:hAnsi="Times New Roman"/>
                <w:sz w:val="22"/>
              </w:rPr>
              <w:t>0.297</w:t>
            </w:r>
          </w:p>
        </w:tc>
        <w:tc>
          <w:tcPr>
            <w:tcW w:type="dxa" w:w="1872"/>
          </w:tcPr>
          <w:p>
            <w:pPr>
              <w:jc w:val="left"/>
            </w:pPr>
            <w:r>
              <w:rPr>
                <w:rFonts w:ascii="Times New Roman" w:hAnsi="Times New Roman"/>
                <w:sz w:val="22"/>
              </w:rPr>
              <w:t>113</w:t>
            </w:r>
          </w:p>
        </w:tc>
        <w:tc>
          <w:tcPr>
            <w:tcW w:type="dxa" w:w="1872"/>
          </w:tcPr>
          <w:p>
            <w:pPr>
              <w:jc w:val="left"/>
            </w:pPr>
            <w:r>
              <w:rPr>
                <w:rFonts w:ascii="Times New Roman" w:hAnsi="Times New Roman"/>
                <w:sz w:val="22"/>
              </w:rPr>
              <w:t>Stratified random</w:t>
            </w:r>
          </w:p>
        </w:tc>
      </w:tr>
      <w:tr>
        <w:tc>
          <w:tcPr>
            <w:tcW w:type="dxa" w:w="1872"/>
          </w:tcPr>
          <w:p>
            <w:pPr>
              <w:jc w:val="left"/>
            </w:pPr>
            <w:r>
              <w:rPr>
                <w:rFonts w:ascii="Times New Roman" w:hAnsi="Times New Roman"/>
                <w:sz w:val="22"/>
              </w:rPr>
              <w:t>**Total**</w:t>
            </w:r>
          </w:p>
        </w:tc>
        <w:tc>
          <w:tcPr>
            <w:tcW w:type="dxa" w:w="1872"/>
          </w:tcPr>
          <w:p>
            <w:pPr>
              <w:jc w:val="left"/>
            </w:pPr>
            <w:r>
              <w:rPr>
                <w:rFonts w:ascii="Times New Roman" w:hAnsi="Times New Roman"/>
                <w:sz w:val="22"/>
              </w:rPr>
              <w:t>**8,250**</w:t>
            </w:r>
          </w:p>
        </w:tc>
        <w:tc>
          <w:tcPr>
            <w:tcW w:type="dxa" w:w="1872"/>
          </w:tcPr>
          <w:p>
            <w:pPr>
              <w:jc w:val="left"/>
            </w:pPr>
            <w:r>
              <w:rPr>
                <w:rFonts w:ascii="Times New Roman" w:hAnsi="Times New Roman"/>
                <w:sz w:val="22"/>
              </w:rPr>
              <w:t>**1.00**</w:t>
            </w:r>
          </w:p>
        </w:tc>
        <w:tc>
          <w:tcPr>
            <w:tcW w:type="dxa" w:w="1872"/>
          </w:tcPr>
          <w:p>
            <w:pPr>
              <w:jc w:val="left"/>
            </w:pPr>
            <w:r>
              <w:rPr>
                <w:rFonts w:ascii="Times New Roman" w:hAnsi="Times New Roman"/>
                <w:sz w:val="22"/>
              </w:rPr>
              <w:t>**382**</w:t>
            </w:r>
          </w:p>
        </w:tc>
        <w:tc>
          <w:tcPr>
            <w:tcW w:type="dxa" w:w="1872"/>
          </w:tcPr>
          <w:p>
            <w:pPr>
              <w:jc w:val="left"/>
            </w:pPr>
            <w:r>
              <w:rPr>
                <w:rFonts w:ascii="Times New Roman" w:hAnsi="Times New Roman"/>
                <w:sz w:val="22"/>
              </w:rPr>
              <w:t>–</w:t>
            </w:r>
          </w:p>
        </w:tc>
      </w:tr>
    </w:tbl>
    <w:p>
      <w:pPr>
        <w:spacing w:after="120"/>
      </w:pPr>
    </w:p>
    <w:p>
      <w:pPr>
        <w:jc w:val="both"/>
      </w:pPr>
      <w:r>
        <w:rPr>
          <w:rFonts w:ascii="Times New Roman" w:hAnsi="Times New Roman"/>
          <w:i/>
          <w:sz w:val="24"/>
        </w:rPr>
        <w:t>Source: Researcher's computation, 2024</w:t>
      </w:r>
    </w:p>
    <w:p>
      <w:pPr>
        <w:jc w:val="both"/>
      </w:pPr>
      <w:r>
        <w:rPr>
          <w:rFonts w:ascii="Times New Roman" w:hAnsi="Times New Roman"/>
          <w:sz w:val="24"/>
        </w:rPr>
        <w:t xml:space="preserve">The table illustrates the proportional allocation of the sample across three primary strata integral to the research topic. The allocation ensured that each subgroup was represented in the sample in direct proportion to its size in the total population, thereby minimising sampling bias and allowing for more precise subgroup analysis </w:t>
      </w:r>
      <w:hyperlink r:id="rId21">
        <w:r>
          <w:rPr>
            <w:rFonts w:ascii="Times New Roman" w:hAnsi="Times New Roman"/>
            <w:sz w:val="24"/>
            <w:color w:val="000000"/>
          </w:rPr>
          <w:t>(Yamane, 1967)</w:t>
        </w:r>
      </w:hyperlink>
      <w:r>
        <w:rPr>
          <w:rFonts w:ascii="Times New Roman" w:hAnsi="Times New Roman"/>
          <w:sz w:val="24"/>
        </w:rPr>
        <w:t xml:space="preserve">. For instance, the largest stratum of mid-level officers and technical personnel, who are often directly engaged with technological systems, received the largest share of the sample (n=225). This methodological rigour strengthened the capacity to generalise findings from the sample back to the entire population of defence stakeholders in South Sudan </w:t>
      </w:r>
      <w:hyperlink r:id="rId20">
        <w:r>
          <w:rPr>
            <w:rFonts w:ascii="Times New Roman" w:hAnsi="Times New Roman"/>
            <w:sz w:val="24"/>
            <w:color w:val="000000"/>
          </w:rPr>
          <w:t>(Krejcie &amp; Morgan, 1970)</w:t>
        </w:r>
      </w:hyperlink>
      <w:r>
        <w:rPr>
          <w:rFonts w:ascii="Times New Roman" w:hAnsi="Times New Roman"/>
          <w:sz w:val="24"/>
        </w:rPr>
        <w:t>.</w:t>
      </w:r>
    </w:p>
    <w:p>
      <w:pPr>
        <w:pStyle w:val="Heading2"/>
      </w:pPr>
      <w:r>
        <w:rPr>
          <w:b/>
          <w:color w:val="000000"/>
        </w:rPr>
        <w:t>3.8 Data Collection Instruments</w:t>
      </w:r>
    </w:p>
    <w:p>
      <w:pPr>
        <w:jc w:val="both"/>
      </w:pPr>
      <w:r>
        <w:rPr>
          <w:rFonts w:ascii="Times New Roman" w:hAnsi="Times New Roman"/>
          <w:sz w:val="24"/>
        </w:rPr>
        <w:t xml:space="preserve">Data collection instruments, as defined by Creswell (2014), are tools used to gather information from respondents to address research questions, serving as the primary mechanism for generating empirical evidence </w:t>
      </w:r>
      <w:hyperlink r:id="rId24">
        <w:r>
          <w:rPr>
            <w:rFonts w:ascii="Times New Roman" w:hAnsi="Times New Roman"/>
            <w:sz w:val="24"/>
            <w:color w:val="000000"/>
          </w:rPr>
          <w:t>(Creswell, 2014)</w:t>
        </w:r>
      </w:hyperlink>
      <w:r>
        <w:rPr>
          <w:rFonts w:ascii="Times New Roman" w:hAnsi="Times New Roman"/>
          <w:sz w:val="24"/>
        </w:rPr>
        <w:t xml:space="preserve">. These instruments, which can be qualitative or quantitative in nature, must be carefully designed to ensure they reliably and validly capture the constructs under investigation </w:t>
      </w:r>
      <w:hyperlink r:id="rId25">
        <w:r>
          <w:rPr>
            <w:rFonts w:ascii="Times New Roman" w:hAnsi="Times New Roman"/>
            <w:sz w:val="24"/>
            <w:color w:val="000000"/>
          </w:rPr>
          <w:t>(Kothari, 2004)</w:t>
        </w:r>
      </w:hyperlink>
      <w:r>
        <w:rPr>
          <w:rFonts w:ascii="Times New Roman" w:hAnsi="Times New Roman"/>
          <w:sz w:val="24"/>
        </w:rPr>
        <w:t xml:space="preserve">. The rigour of a study is fundamentally contingent upon the appropriateness and precision of its measurement tools, as they directly influence the quality of the data collected for analysis </w:t>
      </w:r>
      <w:hyperlink r:id="rId26">
        <w:r>
          <w:rPr>
            <w:rFonts w:ascii="Times New Roman" w:hAnsi="Times New Roman"/>
            <w:sz w:val="24"/>
            <w:color w:val="000000"/>
          </w:rPr>
          <w:t>(Sekaran &amp; Bougie, 2016)</w:t>
        </w:r>
      </w:hyperlink>
      <w:r>
        <w:rPr>
          <w:rFonts w:ascii="Times New Roman" w:hAnsi="Times New Roman"/>
          <w:sz w:val="24"/>
        </w:rPr>
        <w:t>.</w:t>
      </w:r>
    </w:p>
    <w:p>
      <w:pPr>
        <w:jc w:val="both"/>
      </w:pPr>
      <w:r>
        <w:rPr>
          <w:rFonts w:ascii="Times New Roman" w:hAnsi="Times New Roman"/>
          <w:sz w:val="24"/>
        </w:rPr>
        <w:t xml:space="preserve">Given the study’s objectives to measure perceptions, attitudes, and opinions regarding the integration and impact of modern military technology, a structured questionnaire was adopted as the principal data collection instrument </w:t>
      </w:r>
      <w:hyperlink r:id="rId24">
        <w:r>
          <w:rPr>
            <w:rFonts w:ascii="Times New Roman" w:hAnsi="Times New Roman"/>
            <w:sz w:val="24"/>
            <w:color w:val="000000"/>
          </w:rPr>
          <w:t>(Creswell, 2014)</w:t>
        </w:r>
      </w:hyperlink>
      <w:r>
        <w:rPr>
          <w:rFonts w:ascii="Times New Roman" w:hAnsi="Times New Roman"/>
          <w:sz w:val="24"/>
        </w:rPr>
        <w:t xml:space="preserve">. This choice was justified by the need to collect standardised quantitative data from a sizeable sample of military personnel and defence analysts, facilitating statistical analysis of relationships between variables </w:t>
      </w:r>
      <w:hyperlink r:id="rId25">
        <w:r>
          <w:rPr>
            <w:rFonts w:ascii="Times New Roman" w:hAnsi="Times New Roman"/>
            <w:sz w:val="24"/>
            <w:color w:val="000000"/>
          </w:rPr>
          <w:t>(Kothari, 2004)</w:t>
        </w:r>
      </w:hyperlink>
      <w:r>
        <w:rPr>
          <w:rFonts w:ascii="Times New Roman" w:hAnsi="Times New Roman"/>
          <w:sz w:val="24"/>
        </w:rPr>
        <w:t xml:space="preserve">. The structured format ensured efficiency in administration across different units and locations within South Sudan, minimising interpretation bias and allowing for the aggregation of responses to identify broader trends </w:t>
      </w:r>
      <w:hyperlink r:id="rId26">
        <w:r>
          <w:rPr>
            <w:rFonts w:ascii="Times New Roman" w:hAnsi="Times New Roman"/>
            <w:sz w:val="24"/>
            <w:color w:val="000000"/>
          </w:rPr>
          <w:t>(Sekaran &amp; Bougie, 2016)</w:t>
        </w:r>
      </w:hyperlink>
      <w:r>
        <w:rPr>
          <w:rFonts w:ascii="Times New Roman" w:hAnsi="Times New Roman"/>
          <w:sz w:val="24"/>
        </w:rPr>
        <w:t>.</w:t>
      </w:r>
    </w:p>
    <w:p>
      <w:pPr>
        <w:jc w:val="both"/>
      </w:pPr>
      <w:r>
        <w:rPr>
          <w:rFonts w:ascii="Times New Roman" w:hAnsi="Times New Roman"/>
          <w:sz w:val="24"/>
        </w:rPr>
        <w:t xml:space="preserve">The questionnaire was structured into four distinct sections. Section A captured demographic information through six items, including age, gender, education level, years of military service, current rank, and specific exposure to modern technology systems. These nominal and ordinal variables were essential for describing the sample and analysing potential subgroup differences in perceptions </w:t>
      </w:r>
      <w:hyperlink r:id="rId25">
        <w:r>
          <w:rPr>
            <w:rFonts w:ascii="Times New Roman" w:hAnsi="Times New Roman"/>
            <w:sz w:val="24"/>
            <w:color w:val="000000"/>
          </w:rPr>
          <w:t>(Kothari, 2004)</w:t>
        </w:r>
      </w:hyperlink>
      <w:r>
        <w:rPr>
          <w:rFonts w:ascii="Times New Roman" w:hAnsi="Times New Roman"/>
          <w:sz w:val="24"/>
        </w:rPr>
        <w:t xml:space="preserve">. Section B, focusing on the independent variable </w:t>
      </w:r>
      <w:r>
        <w:rPr>
          <w:rFonts w:ascii="Times New Roman" w:hAnsi="Times New Roman"/>
          <w:i/>
          <w:sz w:val="24"/>
        </w:rPr>
        <w:t>Technological Acquisition and Integration</w:t>
      </w:r>
      <w:r>
        <w:rPr>
          <w:rFonts w:ascii="Times New Roman" w:hAnsi="Times New Roman"/>
          <w:sz w:val="24"/>
        </w:rPr>
        <w:t xml:space="preserve">, contained ten items adapted from established defence innovation scales. A sample item was, “The procurement process for new defence technology in my unit is efficient and transparent.” Section C, measuring the independent variable </w:t>
      </w:r>
      <w:r>
        <w:rPr>
          <w:rFonts w:ascii="Times New Roman" w:hAnsi="Times New Roman"/>
          <w:i/>
          <w:sz w:val="24"/>
        </w:rPr>
        <w:t>Training and Technical Proficiency</w:t>
      </w:r>
      <w:r>
        <w:rPr>
          <w:rFonts w:ascii="Times New Roman" w:hAnsi="Times New Roman"/>
          <w:sz w:val="24"/>
        </w:rPr>
        <w:t xml:space="preserve">, comprised eight items adapted from human resource development literature, for example, “I have received adequate training to operate the modern communication systems provided to my unit.” Finally, Section D assessed the dependent variable </w:t>
      </w:r>
      <w:r>
        <w:rPr>
          <w:rFonts w:ascii="Times New Roman" w:hAnsi="Times New Roman"/>
          <w:i/>
          <w:sz w:val="24"/>
        </w:rPr>
        <w:t>Perceived Defence Capability Strengthening</w:t>
      </w:r>
      <w:r>
        <w:rPr>
          <w:rFonts w:ascii="Times New Roman" w:hAnsi="Times New Roman"/>
          <w:sz w:val="24"/>
        </w:rPr>
        <w:t xml:space="preserve"> with ten items, such as “The use of unmanned aerial vehicles has significantly improved our border surveillance capacity” </w:t>
      </w:r>
      <w:hyperlink r:id="rId24">
        <w:r>
          <w:rPr>
            <w:rFonts w:ascii="Times New Roman" w:hAnsi="Times New Roman"/>
            <w:sz w:val="24"/>
            <w:color w:val="000000"/>
          </w:rPr>
          <w:t>(Creswell, 2014)</w:t>
        </w:r>
      </w:hyperlink>
      <w:r>
        <w:rPr>
          <w:rFonts w:ascii="Times New Roman" w:hAnsi="Times New Roman"/>
          <w:sz w:val="24"/>
        </w:rPr>
        <w:t>. The instrument totalled 44 items.</w:t>
      </w:r>
    </w:p>
    <w:p>
      <w:pPr>
        <w:jc w:val="both"/>
      </w:pPr>
      <w:r>
        <w:rPr>
          <w:rFonts w:ascii="Times New Roman" w:hAnsi="Times New Roman"/>
          <w:sz w:val="24"/>
        </w:rPr>
        <w:t xml:space="preserve">All items in Sections B, C, and D utilised a five-point Likert scale, a psychometrically sound tool for measuring attitudes and perceptions </w:t>
      </w:r>
      <w:hyperlink r:id="rId27">
        <w:r>
          <w:rPr>
            <w:rFonts w:ascii="Times New Roman" w:hAnsi="Times New Roman"/>
            <w:sz w:val="24"/>
            <w:color w:val="000000"/>
          </w:rPr>
          <w:t>(Likert, 1932)</w:t>
        </w:r>
      </w:hyperlink>
      <w:r>
        <w:rPr>
          <w:rFonts w:ascii="Times New Roman" w:hAnsi="Times New Roman"/>
          <w:sz w:val="24"/>
        </w:rPr>
        <w:t xml:space="preserve">. The scale was anchored as follows: 1 = Strongly Disagree, 2 = Disagree, 3 = Neutral, 4 = Agree, and 5 = Strongly Agree. This scale was selected for its ability to capture a nuanced degree of variance in responses beyond a simple agree/disagree dichotomy, its familiarity to respondents to reduce completion anxiety, and its suitability for advanced parametric statistical testing </w:t>
      </w:r>
      <w:hyperlink r:id="rId26">
        <w:r>
          <w:rPr>
            <w:rFonts w:ascii="Times New Roman" w:hAnsi="Times New Roman"/>
            <w:sz w:val="24"/>
            <w:color w:val="000000"/>
          </w:rPr>
          <w:t>(Sekaran &amp; Bougie, 2016)</w:t>
        </w:r>
      </w:hyperlink>
      <w:r>
        <w:rPr>
          <w:rFonts w:ascii="Times New Roman" w:hAnsi="Times New Roman"/>
          <w:sz w:val="24"/>
        </w:rPr>
        <w:t xml:space="preserve">. The scale’s widespread use in social science research also allowed for easier comparison with findings from other studies </w:t>
      </w:r>
      <w:hyperlink r:id="rId25">
        <w:r>
          <w:rPr>
            <w:rFonts w:ascii="Times New Roman" w:hAnsi="Times New Roman"/>
            <w:sz w:val="24"/>
            <w:color w:val="000000"/>
          </w:rPr>
          <w:t>(Kothari, 2004)</w:t>
        </w:r>
      </w:hyperlink>
      <w:r>
        <w:rPr>
          <w:rFonts w:ascii="Times New Roman" w:hAnsi="Times New Roman"/>
          <w:sz w:val="24"/>
        </w:rPr>
        <w:t>.</w:t>
      </w:r>
    </w:p>
    <w:p>
      <w:pPr>
        <w:jc w:val="both"/>
      </w:pPr>
      <w:r>
        <w:rPr>
          <w:rFonts w:ascii="Times New Roman" w:hAnsi="Times New Roman"/>
          <w:sz w:val="24"/>
        </w:rPr>
        <w:t xml:space="preserve">Questionnaire items were developed by adapting constructs from validated instruments used in prior studies on defence management and technology adoption. These items were then contextually modified to reflect the specific operational environment and technological landscape of the South Sudan People’s Defence Forces </w:t>
      </w:r>
      <w:hyperlink r:id="rId24">
        <w:r>
          <w:rPr>
            <w:rFonts w:ascii="Times New Roman" w:hAnsi="Times New Roman"/>
            <w:sz w:val="24"/>
            <w:color w:val="000000"/>
          </w:rPr>
          <w:t>(Creswell, 2014)</w:t>
        </w:r>
      </w:hyperlink>
      <w:r>
        <w:rPr>
          <w:rFonts w:ascii="Times New Roman" w:hAnsi="Times New Roman"/>
          <w:sz w:val="24"/>
        </w:rPr>
        <w:t xml:space="preserve">. To mitigate response bias, the instrument included both positively and negatively worded statements, such as a reverse-coded item, “Legacy equipment is sufficient for addressing current national security threats,” which required reverse scoring during data analysis </w:t>
      </w:r>
      <w:hyperlink r:id="rId26">
        <w:r>
          <w:rPr>
            <w:rFonts w:ascii="Times New Roman" w:hAnsi="Times New Roman"/>
            <w:sz w:val="24"/>
            <w:color w:val="000000"/>
          </w:rPr>
          <w:t>(Sekaran &amp; Bougie, 2016)</w:t>
        </w:r>
      </w:hyperlink>
      <w:r>
        <w:rPr>
          <w:rFonts w:ascii="Times New Roman" w:hAnsi="Times New Roman"/>
          <w:sz w:val="24"/>
        </w:rPr>
        <w:t xml:space="preserve">. The draft instrument was pilot-tested with a small group of officers to assess clarity, relevance, and completion time, leading to minor refinements in terminology for enhanced comprehension </w:t>
      </w:r>
      <w:hyperlink r:id="rId25">
        <w:r>
          <w:rPr>
            <w:rFonts w:ascii="Times New Roman" w:hAnsi="Times New Roman"/>
            <w:sz w:val="24"/>
            <w:color w:val="000000"/>
          </w:rPr>
          <w:t>(Kothari, 2004)</w:t>
        </w:r>
      </w:hyperlink>
      <w:r>
        <w:rPr>
          <w:rFonts w:ascii="Times New Roman" w:hAnsi="Times New Roman"/>
          <w:sz w:val="24"/>
        </w:rPr>
        <w:t>.</w:t>
      </w:r>
    </w:p>
    <w:p>
      <w:pPr>
        <w:jc w:val="both"/>
      </w:pPr>
      <w:r>
        <w:rPr>
          <w:rFonts w:ascii="Times New Roman" w:hAnsi="Times New Roman"/>
          <w:sz w:val="24"/>
        </w:rPr>
        <w:t xml:space="preserve">The questionnaire was administered in a self-completion, paper-based format, distributed via designated liaison officers within selected military formations. This mode was selected due to the geographical dispersion of the target population, potential constraints on consistent internet access for an online survey, and the need to ensure confidentiality in a hierarchical organisational context </w:t>
      </w:r>
      <w:hyperlink r:id="rId26">
        <w:r>
          <w:rPr>
            <w:rFonts w:ascii="Times New Roman" w:hAnsi="Times New Roman"/>
            <w:sz w:val="24"/>
            <w:color w:val="000000"/>
          </w:rPr>
          <w:t>(Sekaran &amp; Bougie, 2016)</w:t>
        </w:r>
      </w:hyperlink>
      <w:r>
        <w:rPr>
          <w:rFonts w:ascii="Times New Roman" w:hAnsi="Times New Roman"/>
          <w:sz w:val="24"/>
        </w:rPr>
        <w:t xml:space="preserve">. The paper format also allowed for immediate completion and collection, aiding in managing response rates. Clear written instructions were provided at the beginning of the questionnaire, and the estimated completion time was 15 to 20 minutes, a duration considered sufficient for thoughtful responses without causing respondent fatigue </w:t>
      </w:r>
      <w:hyperlink r:id="rId24">
        <w:r>
          <w:rPr>
            <w:rFonts w:ascii="Times New Roman" w:hAnsi="Times New Roman"/>
            <w:sz w:val="24"/>
            <w:color w:val="000000"/>
          </w:rPr>
          <w:t>(Creswell, 2014)</w:t>
        </w:r>
      </w:hyperlink>
      <w:r>
        <w:rPr>
          <w:rFonts w:ascii="Times New Roman" w:hAnsi="Times New Roman"/>
          <w:sz w:val="24"/>
        </w:rPr>
        <w:t>.</w:t>
      </w:r>
    </w:p>
    <w:p>
      <w:pPr>
        <w:pStyle w:val="Heading2"/>
      </w:pPr>
      <w:r>
        <w:rPr>
          <w:b/>
          <w:color w:val="000000"/>
        </w:rPr>
        <w:t>3.9 Validity and Reliability of Instruments</w:t>
      </w:r>
    </w:p>
    <w:p>
      <w:pPr>
        <w:jc w:val="both"/>
      </w:pPr>
      <w:r>
        <w:rPr>
          <w:rFonts w:ascii="Times New Roman" w:hAnsi="Times New Roman"/>
          <w:sz w:val="24"/>
        </w:rPr>
        <w:t xml:space="preserve">Validity and reliability, as defined by Hair et al. (2019), constitute the fundamental psychometric properties that ensure research instruments measure what they purport to measure consistently and accurately. Validity refers to the degree to which an instrument correctly measures the specific concept it is intended to assess, ensuring the accuracy and appropriateness of the inferences drawn from the data </w:t>
      </w:r>
      <w:hyperlink r:id="rId28">
        <w:r>
          <w:rPr>
            <w:rFonts w:ascii="Times New Roman" w:hAnsi="Times New Roman"/>
            <w:sz w:val="24"/>
            <w:color w:val="000000"/>
          </w:rPr>
          <w:t>(Hair et al., 2019)</w:t>
        </w:r>
      </w:hyperlink>
      <w:r>
        <w:rPr>
          <w:rFonts w:ascii="Times New Roman" w:hAnsi="Times New Roman"/>
          <w:sz w:val="24"/>
        </w:rPr>
        <w:t xml:space="preserve">. Concurrently, reliability denotes the consistency and stability of a measurement instrument, indicating that it yields similar results under consistent conditions over repeated administrations </w:t>
      </w:r>
      <w:hyperlink r:id="rId29">
        <w:r>
          <w:rPr>
            <w:rFonts w:ascii="Times New Roman" w:hAnsi="Times New Roman"/>
            <w:sz w:val="24"/>
            <w:color w:val="000000"/>
          </w:rPr>
          <w:t>(Sekaran &amp; Bougie, 2016)</w:t>
        </w:r>
      </w:hyperlink>
      <w:r>
        <w:rPr>
          <w:rFonts w:ascii="Times New Roman" w:hAnsi="Times New Roman"/>
          <w:sz w:val="24"/>
        </w:rPr>
        <w:t xml:space="preserve">. These twin pillars are essential for establishing the scientific rigour and trustworthiness of quantitative research findings, as without them, results may be misleading or erroneous </w:t>
      </w:r>
      <w:hyperlink r:id="rId30">
        <w:r>
          <w:rPr>
            <w:rFonts w:ascii="Times New Roman" w:hAnsi="Times New Roman"/>
            <w:sz w:val="24"/>
            <w:color w:val="000000"/>
          </w:rPr>
          <w:t>(Tavakol &amp; Dennick, 2011)</w:t>
        </w:r>
      </w:hyperlink>
      <w:r>
        <w:rPr>
          <w:rFonts w:ascii="Times New Roman" w:hAnsi="Times New Roman"/>
          <w:sz w:val="24"/>
        </w:rPr>
        <w:t>.</w:t>
      </w:r>
    </w:p>
    <w:p>
      <w:pPr>
        <w:jc w:val="both"/>
      </w:pPr>
      <w:r>
        <w:rPr>
          <w:rFonts w:ascii="Times New Roman" w:hAnsi="Times New Roman"/>
          <w:sz w:val="24"/>
        </w:rPr>
        <w:t>To empirically assess the internal consistency reliability of multi-item scales, such as those measuring perceptions of technological efficacy or strategic impact, Cronbach’s alpha coefficient was calculated. This statistic is derived from the formula:</w:t>
      </w:r>
    </w:p>
    <w:p>
      <w:pPr>
        <w:jc w:val="center"/>
      </w:pPr>
      <m:oMath>
        <m:box>
          <m:e>
            <m:r>
              <m:rPr>
                <m:sty m:val="i"/>
              </m:rPr>
              <m:t>α</m:t>
            </m:r>
            <m:r>
              <m:rPr>
                <m:sty m:val="p"/>
              </m:rPr>
              <m:t>=</m:t>
            </m:r>
            <m:f>
              <m:num>
                <m:box>
                  <m:e>
                    <m:r>
                      <m:rPr>
                        <m:sty m:val="i"/>
                      </m:rPr>
                      <m:t>K</m:t>
                    </m:r>
                  </m:e>
                </m:box>
              </m:num>
              <m:den>
                <m:box>
                  <m:e>
                    <m:r>
                      <m:rPr>
                        <m:sty m:val="i"/>
                      </m:rPr>
                      <m:t>K</m:t>
                    </m:r>
                    <m:r>
                      <m:rPr>
                        <m:sty m:val="p"/>
                      </m:rPr>
                      <m:t>−</m:t>
                    </m:r>
                    <m:r>
                      <m:rPr>
                        <m:sty m:val="p"/>
                      </m:rPr>
                      <m:t>1</m:t>
                    </m:r>
                  </m:e>
                </m:box>
              </m:den>
            </m:f>
            <m:box>
              <m:e>
                <m:d>
                  <m:dPr>
                    <m:begChr m:val="("/>
                    <m:endChr m:val=")"/>
                  </m:dPr>
                  <m:e>
                    <m:box>
                      <m:e>
                        <m:r>
                          <m:rPr>
                            <m:sty m:val="p"/>
                          </m:rPr>
                          <m:t>1</m:t>
                        </m:r>
                        <m:r>
                          <m:rPr>
                            <m:sty m:val="p"/>
                          </m:rPr>
                          <m:t>−</m:t>
                        </m:r>
                        <m:f>
                          <m:num>
                            <m:box>
                              <m:e>
                                <m:r>
                                  <m:rPr>
                                    <m:sty m:val="p"/>
                                  </m:rPr>
                                  <m:t>∑</m:t>
                                </m:r>
                                <m:sSubSup>
                                  <m:e>
                                    <m:r>
                                      <m:rPr>
                                        <m:sty m:val="i"/>
                                      </m:rPr>
                                      <m:t>σ</m:t>
                                    </m:r>
                                  </m:e>
                                  <m:sub>
                                    <m:box>
                                      <m:e>
                                        <m:sSub>
                                          <m:e>
                                            <m:r>
                                              <m:rPr>
                                                <m:sty m:val="i"/>
                                              </m:rPr>
                                              <m:t>y</m:t>
                                            </m:r>
                                          </m:e>
                                          <m:sub>
                                            <m:r>
                                              <m:rPr>
                                                <m:sty m:val="i"/>
                                              </m:rPr>
                                              <m:t>i</m:t>
                                            </m:r>
                                          </m:sub>
                                        </m:sSub>
                                      </m:e>
                                    </m:box>
                                  </m:sub>
                                  <m:sup>
                                    <m:r>
                                      <m:rPr>
                                        <m:sty m:val="p"/>
                                      </m:rPr>
                                      <m:t>2</m:t>
                                    </m:r>
                                  </m:sup>
                                </m:sSubSup>
                              </m:e>
                            </m:box>
                          </m:num>
                          <m:den>
                            <m:box>
                              <m:e>
                                <m:sSubSup>
                                  <m:e>
                                    <m:r>
                                      <m:rPr>
                                        <m:sty m:val="i"/>
                                      </m:rPr>
                                      <m:t>σ</m:t>
                                    </m:r>
                                  </m:e>
                                  <m:sub>
                                    <m:r>
                                      <m:rPr>
                                        <m:sty m:val="i"/>
                                      </m:rPr>
                                      <m:t>x</m:t>
                                    </m:r>
                                  </m:sub>
                                  <m:sup>
                                    <m:r>
                                      <m:rPr>
                                        <m:sty m:val="p"/>
                                      </m:rPr>
                                      <m:t>2</m:t>
                                    </m:r>
                                  </m:sup>
                                </m:sSubSup>
                              </m:e>
                            </m:box>
                          </m:den>
                        </m:f>
                      </m:e>
                    </m:box>
                  </m:e>
                </m:d>
              </m:e>
            </m:box>
          </m:e>
        </m:box>
      </m:oMath>
    </w:p>
    <w:p>
      <w:pPr>
        <w:jc w:val="both"/>
      </w:pPr>
      <w:r>
        <w:rPr>
          <w:rFonts w:ascii="Times New Roman" w:hAnsi="Times New Roman"/>
          <w:sz w:val="24"/>
        </w:rPr>
        <w:t xml:space="preserve">Where </w:t>
      </w:r>
      <w:r>
        <w:rPr>
          <w:rFonts w:ascii="Times New Roman" w:hAnsi="Times New Roman"/>
          <w:i/>
          <w:sz w:val="24"/>
        </w:rPr>
        <w:t>α</w:t>
      </w:r>
      <w:r>
        <w:rPr>
          <w:rFonts w:ascii="Times New Roman" w:hAnsi="Times New Roman"/>
          <w:sz w:val="24"/>
        </w:rPr>
        <w:t xml:space="preserve"> represents the Cronbach’s Alpha coefficient, </w:t>
      </w:r>
      <w:r>
        <w:rPr>
          <w:rFonts w:ascii="Times New Roman" w:hAnsi="Times New Roman"/>
          <w:i/>
          <w:sz w:val="24"/>
        </w:rPr>
        <w:t>K</w:t>
      </w:r>
      <w:r>
        <w:rPr>
          <w:rFonts w:ascii="Times New Roman" w:hAnsi="Times New Roman"/>
          <w:sz w:val="24"/>
        </w:rPr>
        <w:t xml:space="preserve"> is the number of items in the scale, </w:t>
      </w:r>
      <w:r>
        <w:rPr>
          <w:rFonts w:ascii="Times New Roman" w:hAnsi="Times New Roman"/>
          <w:i/>
          <w:sz w:val="24"/>
        </w:rPr>
        <w:t>σ²(yi)</w:t>
      </w:r>
      <w:r>
        <w:rPr>
          <w:rFonts w:ascii="Times New Roman" w:hAnsi="Times New Roman"/>
          <w:sz w:val="24"/>
        </w:rPr>
        <w:t xml:space="preserve"> is the variance of an individual item </w:t>
      </w:r>
      <w:r>
        <w:rPr>
          <w:rFonts w:ascii="Times New Roman" w:hAnsi="Times New Roman"/>
          <w:i/>
          <w:sz w:val="24"/>
        </w:rPr>
        <w:t>i</w:t>
      </w:r>
      <w:r>
        <w:rPr>
          <w:rFonts w:ascii="Times New Roman" w:hAnsi="Times New Roman"/>
          <w:sz w:val="24"/>
        </w:rPr>
        <w:t xml:space="preserve">, and </w:t>
      </w:r>
      <w:r>
        <w:rPr>
          <w:rFonts w:ascii="Times New Roman" w:hAnsi="Times New Roman"/>
          <w:i/>
          <w:sz w:val="24"/>
        </w:rPr>
        <w:t>σ²(x)</w:t>
      </w:r>
      <w:r>
        <w:rPr>
          <w:rFonts w:ascii="Times New Roman" w:hAnsi="Times New Roman"/>
          <w:sz w:val="24"/>
        </w:rPr>
        <w:t xml:space="preserve"> is the variance of the total scores across all items </w:t>
      </w:r>
      <w:hyperlink r:id="rId28">
        <w:r>
          <w:rPr>
            <w:rFonts w:ascii="Times New Roman" w:hAnsi="Times New Roman"/>
            <w:sz w:val="24"/>
            <w:color w:val="000000"/>
          </w:rPr>
          <w:t>(Hair et al., 2019)</w:t>
        </w:r>
      </w:hyperlink>
      <w:r>
        <w:rPr>
          <w:rFonts w:ascii="Times New Roman" w:hAnsi="Times New Roman"/>
          <w:sz w:val="24"/>
        </w:rPr>
        <w:t xml:space="preserve">. This formula essentially evaluates how closely related a set of items are as a group, providing a quantitative measure of scale coherence </w:t>
      </w:r>
      <w:hyperlink r:id="rId29">
        <w:r>
          <w:rPr>
            <w:rFonts w:ascii="Times New Roman" w:hAnsi="Times New Roman"/>
            <w:sz w:val="24"/>
            <w:color w:val="000000"/>
          </w:rPr>
          <w:t>(Sekaran &amp; Bougie, 2016)</w:t>
        </w:r>
      </w:hyperlink>
      <w:r>
        <w:rPr>
          <w:rFonts w:ascii="Times New Roman" w:hAnsi="Times New Roman"/>
          <w:sz w:val="24"/>
        </w:rPr>
        <w:t xml:space="preserve">. A high alpha value suggests that the items collectively measure the same underlying construct, which is critical for ensuring dependable measurement in survey-based research </w:t>
      </w:r>
      <w:hyperlink r:id="rId30">
        <w:r>
          <w:rPr>
            <w:rFonts w:ascii="Times New Roman" w:hAnsi="Times New Roman"/>
            <w:sz w:val="24"/>
            <w:color w:val="000000"/>
          </w:rPr>
          <w:t>(Tavakol &amp; Dennick, 2011)</w:t>
        </w:r>
      </w:hyperlink>
      <w:r>
        <w:rPr>
          <w:rFonts w:ascii="Times New Roman" w:hAnsi="Times New Roman"/>
          <w:sz w:val="24"/>
        </w:rPr>
        <w:t>.</w:t>
      </w:r>
    </w:p>
    <w:p>
      <w:pPr>
        <w:jc w:val="both"/>
      </w:pPr>
      <w:r>
        <w:rPr>
          <w:rFonts w:ascii="Times New Roman" w:hAnsi="Times New Roman"/>
          <w:sz w:val="24"/>
        </w:rPr>
        <w:t xml:space="preserve">The interpretation of the Cronbach’s alpha coefficient follows established psychometric thresholds. A coefficient greater than 0.90 is considered excellent, whilst a value above 0.80 is classified as good for research purposes </w:t>
      </w:r>
      <w:hyperlink r:id="rId31">
        <w:r>
          <w:rPr>
            <w:rFonts w:ascii="Times New Roman" w:hAnsi="Times New Roman"/>
            <w:sz w:val="24"/>
            <w:color w:val="000000"/>
          </w:rPr>
          <w:t>(George &amp; Mallery, 2003)</w:t>
        </w:r>
      </w:hyperlink>
      <w:r>
        <w:rPr>
          <w:rFonts w:ascii="Times New Roman" w:hAnsi="Times New Roman"/>
          <w:sz w:val="24"/>
        </w:rPr>
        <w:t xml:space="preserve">. An alpha value exceeding 0.70 is generally deemed acceptable, particularly in exploratory social science research, indicating adequate internal consistency </w:t>
      </w:r>
      <w:hyperlink r:id="rId30">
        <w:r>
          <w:rPr>
            <w:rFonts w:ascii="Times New Roman" w:hAnsi="Times New Roman"/>
            <w:sz w:val="24"/>
            <w:color w:val="000000"/>
          </w:rPr>
          <w:t>(Tavakol &amp; Dennick, 2011)</w:t>
        </w:r>
      </w:hyperlink>
      <w:r>
        <w:rPr>
          <w:rFonts w:ascii="Times New Roman" w:hAnsi="Times New Roman"/>
          <w:sz w:val="24"/>
        </w:rPr>
        <w:t xml:space="preserve">. Conversely, a coefficient below 0.60 is typically viewed as unacceptable, signalling that the scale items lack sufficient interrelatedness and may require revision or elimination to improve measurement reliability </w:t>
      </w:r>
      <w:hyperlink r:id="rId28">
        <w:r>
          <w:rPr>
            <w:rFonts w:ascii="Times New Roman" w:hAnsi="Times New Roman"/>
            <w:sz w:val="24"/>
            <w:color w:val="000000"/>
          </w:rPr>
          <w:t>(Hair et al., 2019)</w:t>
        </w:r>
      </w:hyperlink>
      <w:r>
        <w:rPr>
          <w:rFonts w:ascii="Times New Roman" w:hAnsi="Times New Roman"/>
          <w:sz w:val="24"/>
        </w:rPr>
        <w:t>.</w:t>
      </w:r>
    </w:p>
    <w:p>
      <w:pPr>
        <w:jc w:val="both"/>
      </w:pPr>
      <w:r>
        <w:rPr>
          <w:rFonts w:ascii="Times New Roman" w:hAnsi="Times New Roman"/>
          <w:sz w:val="24"/>
        </w:rPr>
        <w:t>Beyond reliability, validity testing was conducted to ensure the instruments’ appropriateness. Content validity was established through an expert panel review comprising five senior defence analysts and military technology specialists. The Content Validity Index (CVI) was computed using the formula:</w:t>
      </w:r>
    </w:p>
    <w:p>
      <w:pPr>
        <w:jc w:val="center"/>
      </w:pPr>
      <m:oMath>
        <m:box>
          <m:e>
            <m:r>
              <m:rPr>
                <m:sty m:val="i"/>
              </m:rPr>
              <m:t>C</m:t>
            </m:r>
            <m:r>
              <m:rPr>
                <m:sty m:val="i"/>
              </m:rPr>
              <m:t>V</m:t>
            </m:r>
            <m:r>
              <m:rPr>
                <m:sty m:val="i"/>
              </m:rPr>
              <m:t>I</m:t>
            </m:r>
            <m:r>
              <m:rPr>
                <m:sty m:val="p"/>
              </m:rPr>
              <m:t>=</m:t>
            </m:r>
            <m:f>
              <m:num>
                <m:box>
                  <m:e>
                    <m:r>
                      <m:rPr>
                        <m:nor/>
                      </m:rPr>
                      <m:t>Experts rating relevant</m:t>
                    </m:r>
                  </m:e>
                </m:box>
              </m:num>
              <m:den>
                <m:box>
                  <m:e>
                    <m:r>
                      <m:rPr>
                        <m:nor/>
                      </m:rPr>
                      <m:t>Total experts</m:t>
                    </m:r>
                  </m:e>
                </m:box>
              </m:den>
            </m:f>
          </m:e>
        </m:box>
      </m:oMath>
    </w:p>
    <w:p>
      <w:pPr>
        <w:jc w:val="both"/>
      </w:pPr>
      <w:r>
        <w:rPr>
          <w:rFonts w:ascii="Times New Roman" w:hAnsi="Times New Roman"/>
          <w:sz w:val="24"/>
        </w:rPr>
        <w:t xml:space="preserve">where items rated as relevant by four or more experts (CVI ≥ 0.80) were retained, a standard benchmark for adequate content validity </w:t>
      </w:r>
      <w:hyperlink r:id="rId32">
        <w:r>
          <w:rPr>
            <w:rFonts w:ascii="Times New Roman" w:hAnsi="Times New Roman"/>
            <w:sz w:val="24"/>
            <w:color w:val="000000"/>
          </w:rPr>
          <w:t>(Polit &amp; Beck, 2006)</w:t>
        </w:r>
      </w:hyperlink>
      <w:r>
        <w:rPr>
          <w:rFonts w:ascii="Times New Roman" w:hAnsi="Times New Roman"/>
          <w:sz w:val="24"/>
        </w:rPr>
        <w:t xml:space="preserve">. Furthermore, construct validity, which assesses whether the instrument measures the theoretical construct it claims to, was evaluated through factor analysis. Both exploratory and confirmatory factor analysis techniques were employed to verify the underlying factor structure of the scales, ensuring they accurately captured dimensions such as technological integration and defensive capability enhancement </w:t>
      </w:r>
      <w:hyperlink r:id="rId28">
        <w:r>
          <w:rPr>
            <w:rFonts w:ascii="Times New Roman" w:hAnsi="Times New Roman"/>
            <w:sz w:val="24"/>
            <w:color w:val="000000"/>
          </w:rPr>
          <w:t>(Hair et al., 2019)</w:t>
        </w:r>
      </w:hyperlink>
      <w:r>
        <w:rPr>
          <w:rFonts w:ascii="Times New Roman" w:hAnsi="Times New Roman"/>
          <w:sz w:val="24"/>
        </w:rPr>
        <w:t>.</w:t>
      </w:r>
    </w:p>
    <w:p>
      <w:pPr>
        <w:jc w:val="both"/>
      </w:pPr>
      <w:r>
        <w:rPr>
          <w:rFonts w:ascii="Times New Roman" w:hAnsi="Times New Roman"/>
          <w:sz w:val="24"/>
        </w:rPr>
        <w:t xml:space="preserve">A pilot study was administered in Juba, South Sudan, during June 2024 to pretest the research questionnaire. The pilot involved a purposive sample of 30 respondents drawn from mid-level officers within the South Sudan People’s Defence Forces (SSPDF) and personnel from the Ministry of Defence and Veterans Affairs. The primary purpose was to evaluate the clarity, relevance, and comprehensibility of the survey items within the specific context of South Sudan’s defence sector, as well as to collect preliminary data for reliability analysis </w:t>
      </w:r>
      <w:hyperlink r:id="rId29">
        <w:r>
          <w:rPr>
            <w:rFonts w:ascii="Times New Roman" w:hAnsi="Times New Roman"/>
            <w:sz w:val="24"/>
            <w:color w:val="000000"/>
          </w:rPr>
          <w:t>(Sekaran &amp; Bougie, 2016)</w:t>
        </w:r>
      </w:hyperlink>
      <w:r>
        <w:rPr>
          <w:rFonts w:ascii="Times New Roman" w:hAnsi="Times New Roman"/>
          <w:sz w:val="24"/>
        </w:rPr>
        <w:t xml:space="preserve">. Feedback from this pilot phase was used to refine ambiguous phrasing and ensure the technical terminology related to surveillance, communication, and mobility technologies was accurately understood before full-scale deployment </w:t>
      </w:r>
      <w:hyperlink r:id="rId28">
        <w:r>
          <w:rPr>
            <w:rFonts w:ascii="Times New Roman" w:hAnsi="Times New Roman"/>
            <w:sz w:val="24"/>
            <w:color w:val="000000"/>
          </w:rPr>
          <w:t>(Hair et al., 2019)</w:t>
        </w:r>
      </w:hyperlink>
      <w:r>
        <w:rPr>
          <w:rFonts w:ascii="Times New Roman" w:hAnsi="Times New Roman"/>
          <w:sz w:val="24"/>
        </w:rPr>
        <w:t>.</w:t>
      </w:r>
    </w:p>
    <w:p>
      <w:pPr>
        <w:jc w:val="both"/>
      </w:pPr>
      <w:r>
        <w:rPr>
          <w:rFonts w:ascii="Times New Roman" w:hAnsi="Times New Roman"/>
          <w:sz w:val="24"/>
        </w:rPr>
        <w:t>The reliability analysis of the pilot study data yielded the following results for the key measurement scales:</w:t>
      </w:r>
    </w:p>
    <w:p>
      <w:pPr>
        <w:jc w:val="both"/>
      </w:pPr>
      <w:r>
        <w:rPr>
          <w:rFonts w:ascii="Times New Roman" w:hAnsi="Times New Roman"/>
          <w:b/>
          <w:sz w:val="24"/>
        </w:rPr>
        <w:t>Table 3.9: Reliability Test Results (Pilot Study, n=30)</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pPr>
              <w:jc w:val="left"/>
            </w:pPr>
            <w:r>
              <w:rPr>
                <w:rFonts w:ascii="Times New Roman" w:hAnsi="Times New Roman"/>
                <w:sz w:val="22"/>
              </w:rPr>
              <w:t>Variable/Scale</w:t>
            </w:r>
          </w:p>
        </w:tc>
        <w:tc>
          <w:tcPr>
            <w:tcW w:type="dxa" w:w="2340"/>
          </w:tcPr>
          <w:p>
            <w:pPr>
              <w:jc w:val="left"/>
            </w:pPr>
            <w:r>
              <w:rPr>
                <w:rFonts w:ascii="Times New Roman" w:hAnsi="Times New Roman"/>
                <w:sz w:val="22"/>
              </w:rPr>
              <w:t>Number of Items</w:t>
            </w:r>
          </w:p>
        </w:tc>
        <w:tc>
          <w:tcPr>
            <w:tcW w:type="dxa" w:w="2340"/>
          </w:tcPr>
          <w:p>
            <w:pPr>
              <w:jc w:val="left"/>
            </w:pPr>
            <w:r>
              <w:rPr>
                <w:rFonts w:ascii="Times New Roman" w:hAnsi="Times New Roman"/>
                <w:sz w:val="22"/>
              </w:rPr>
              <w:t>Cronbach's Alpha (α)</w:t>
            </w:r>
          </w:p>
        </w:tc>
        <w:tc>
          <w:tcPr>
            <w:tcW w:type="dxa" w:w="2340"/>
          </w:tcPr>
          <w:p>
            <w:pPr>
              <w:jc w:val="left"/>
            </w:pPr>
            <w:r>
              <w:rPr>
                <w:rFonts w:ascii="Times New Roman" w:hAnsi="Times New Roman"/>
                <w:sz w:val="22"/>
              </w:rPr>
              <w:t>Interpretation</w:t>
            </w:r>
          </w:p>
        </w:tc>
      </w:tr>
      <w:tr>
        <w:tc>
          <w:tcPr>
            <w:tcW w:type="dxa" w:w="2340"/>
          </w:tcPr>
          <w:p>
            <w:pPr>
              <w:jc w:val="left"/>
            </w:pPr>
            <w:r>
              <w:rPr>
                <w:rFonts w:ascii="Times New Roman" w:hAnsi="Times New Roman"/>
                <w:sz w:val="22"/>
              </w:rPr>
              <w:t>Perceived Efficacy of Surveillance Technology</w:t>
            </w:r>
          </w:p>
        </w:tc>
        <w:tc>
          <w:tcPr>
            <w:tcW w:type="dxa" w:w="2340"/>
          </w:tcPr>
          <w:p>
            <w:pPr>
              <w:jc w:val="left"/>
            </w:pPr>
            <w:r>
              <w:rPr>
                <w:rFonts w:ascii="Times New Roman" w:hAnsi="Times New Roman"/>
                <w:sz w:val="22"/>
              </w:rPr>
              <w:t>5</w:t>
            </w:r>
          </w:p>
        </w:tc>
        <w:tc>
          <w:tcPr>
            <w:tcW w:type="dxa" w:w="2340"/>
          </w:tcPr>
          <w:p>
            <w:pPr>
              <w:jc w:val="left"/>
            </w:pPr>
            <w:r>
              <w:rPr>
                <w:rFonts w:ascii="Times New Roman" w:hAnsi="Times New Roman"/>
                <w:sz w:val="22"/>
              </w:rPr>
              <w:t>0.87</w:t>
            </w:r>
          </w:p>
        </w:tc>
        <w:tc>
          <w:tcPr>
            <w:tcW w:type="dxa" w:w="2340"/>
          </w:tcPr>
          <w:p>
            <w:pPr>
              <w:jc w:val="left"/>
            </w:pPr>
            <w:r>
              <w:rPr>
                <w:rFonts w:ascii="Times New Roman" w:hAnsi="Times New Roman"/>
                <w:sz w:val="22"/>
              </w:rPr>
              <w:t>Good</w:t>
            </w:r>
          </w:p>
        </w:tc>
      </w:tr>
      <w:tr>
        <w:tc>
          <w:tcPr>
            <w:tcW w:type="dxa" w:w="2340"/>
          </w:tcPr>
          <w:p>
            <w:pPr>
              <w:jc w:val="left"/>
            </w:pPr>
            <w:r>
              <w:rPr>
                <w:rFonts w:ascii="Times New Roman" w:hAnsi="Times New Roman"/>
                <w:sz w:val="22"/>
              </w:rPr>
              <w:t>Impact of Communication Systems on Coordination</w:t>
            </w:r>
          </w:p>
        </w:tc>
        <w:tc>
          <w:tcPr>
            <w:tcW w:type="dxa" w:w="2340"/>
          </w:tcPr>
          <w:p>
            <w:pPr>
              <w:jc w:val="left"/>
            </w:pPr>
            <w:r>
              <w:rPr>
                <w:rFonts w:ascii="Times New Roman" w:hAnsi="Times New Roman"/>
                <w:sz w:val="22"/>
              </w:rPr>
              <w:t>6</w:t>
            </w:r>
          </w:p>
        </w:tc>
        <w:tc>
          <w:tcPr>
            <w:tcW w:type="dxa" w:w="2340"/>
          </w:tcPr>
          <w:p>
            <w:pPr>
              <w:jc w:val="left"/>
            </w:pPr>
            <w:r>
              <w:rPr>
                <w:rFonts w:ascii="Times New Roman" w:hAnsi="Times New Roman"/>
                <w:sz w:val="22"/>
              </w:rPr>
              <w:t>0.82</w:t>
            </w:r>
          </w:p>
        </w:tc>
        <w:tc>
          <w:tcPr>
            <w:tcW w:type="dxa" w:w="2340"/>
          </w:tcPr>
          <w:p>
            <w:pPr>
              <w:jc w:val="left"/>
            </w:pPr>
            <w:r>
              <w:rPr>
                <w:rFonts w:ascii="Times New Roman" w:hAnsi="Times New Roman"/>
                <w:sz w:val="22"/>
              </w:rPr>
              <w:t>Good</w:t>
            </w:r>
          </w:p>
        </w:tc>
      </w:tr>
      <w:tr>
        <w:tc>
          <w:tcPr>
            <w:tcW w:type="dxa" w:w="2340"/>
          </w:tcPr>
          <w:p>
            <w:pPr>
              <w:jc w:val="left"/>
            </w:pPr>
            <w:r>
              <w:rPr>
                <w:rFonts w:ascii="Times New Roman" w:hAnsi="Times New Roman"/>
                <w:sz w:val="22"/>
              </w:rPr>
              <w:t>Mobility &amp; Logistics Technology Adoption</w:t>
            </w:r>
          </w:p>
        </w:tc>
        <w:tc>
          <w:tcPr>
            <w:tcW w:type="dxa" w:w="2340"/>
          </w:tcPr>
          <w:p>
            <w:pPr>
              <w:jc w:val="left"/>
            </w:pPr>
            <w:r>
              <w:rPr>
                <w:rFonts w:ascii="Times New Roman" w:hAnsi="Times New Roman"/>
                <w:sz w:val="22"/>
              </w:rPr>
              <w:t>4</w:t>
            </w:r>
          </w:p>
        </w:tc>
        <w:tc>
          <w:tcPr>
            <w:tcW w:type="dxa" w:w="2340"/>
          </w:tcPr>
          <w:p>
            <w:pPr>
              <w:jc w:val="left"/>
            </w:pPr>
            <w:r>
              <w:rPr>
                <w:rFonts w:ascii="Times New Roman" w:hAnsi="Times New Roman"/>
                <w:sz w:val="22"/>
              </w:rPr>
              <w:t>0.79</w:t>
            </w:r>
          </w:p>
        </w:tc>
        <w:tc>
          <w:tcPr>
            <w:tcW w:type="dxa" w:w="2340"/>
          </w:tcPr>
          <w:p>
            <w:pPr>
              <w:jc w:val="left"/>
            </w:pPr>
            <w:r>
              <w:rPr>
                <w:rFonts w:ascii="Times New Roman" w:hAnsi="Times New Roman"/>
                <w:sz w:val="22"/>
              </w:rPr>
              <w:t>Acceptable</w:t>
            </w:r>
          </w:p>
        </w:tc>
      </w:tr>
      <w:tr>
        <w:tc>
          <w:tcPr>
            <w:tcW w:type="dxa" w:w="2340"/>
          </w:tcPr>
          <w:p>
            <w:pPr>
              <w:jc w:val="left"/>
            </w:pPr>
            <w:r>
              <w:rPr>
                <w:rFonts w:ascii="Times New Roman" w:hAnsi="Times New Roman"/>
                <w:sz w:val="22"/>
              </w:rPr>
              <w:t>Strategic Defence Capability Enhancement</w:t>
            </w:r>
          </w:p>
        </w:tc>
        <w:tc>
          <w:tcPr>
            <w:tcW w:type="dxa" w:w="2340"/>
          </w:tcPr>
          <w:p>
            <w:pPr>
              <w:jc w:val="left"/>
            </w:pPr>
            <w:r>
              <w:rPr>
                <w:rFonts w:ascii="Times New Roman" w:hAnsi="Times New Roman"/>
                <w:sz w:val="22"/>
              </w:rPr>
              <w:t>7</w:t>
            </w:r>
          </w:p>
        </w:tc>
        <w:tc>
          <w:tcPr>
            <w:tcW w:type="dxa" w:w="2340"/>
          </w:tcPr>
          <w:p>
            <w:pPr>
              <w:jc w:val="left"/>
            </w:pPr>
            <w:r>
              <w:rPr>
                <w:rFonts w:ascii="Times New Roman" w:hAnsi="Times New Roman"/>
                <w:sz w:val="22"/>
              </w:rPr>
              <w:t>0.91</w:t>
            </w:r>
          </w:p>
        </w:tc>
        <w:tc>
          <w:tcPr>
            <w:tcW w:type="dxa" w:w="2340"/>
          </w:tcPr>
          <w:p>
            <w:pPr>
              <w:jc w:val="left"/>
            </w:pPr>
            <w:r>
              <w:rPr>
                <w:rFonts w:ascii="Times New Roman" w:hAnsi="Times New Roman"/>
                <w:sz w:val="22"/>
              </w:rPr>
              <w:t>Excellent</w:t>
            </w:r>
          </w:p>
        </w:tc>
      </w:tr>
      <w:tr>
        <w:tc>
          <w:tcPr>
            <w:tcW w:type="dxa" w:w="2340"/>
          </w:tcPr>
          <w:p>
            <w:pPr>
              <w:jc w:val="left"/>
            </w:pPr>
            <w:r>
              <w:rPr>
                <w:rFonts w:ascii="Times New Roman" w:hAnsi="Times New Roman"/>
                <w:sz w:val="22"/>
              </w:rPr>
              <w:t>**Overall Instrument**</w:t>
            </w:r>
          </w:p>
        </w:tc>
        <w:tc>
          <w:tcPr>
            <w:tcW w:type="dxa" w:w="2340"/>
          </w:tcPr>
          <w:p>
            <w:pPr>
              <w:jc w:val="left"/>
            </w:pPr>
            <w:r>
              <w:rPr>
                <w:rFonts w:ascii="Times New Roman" w:hAnsi="Times New Roman"/>
                <w:sz w:val="22"/>
              </w:rPr>
              <w:t>**22**</w:t>
            </w:r>
          </w:p>
        </w:tc>
        <w:tc>
          <w:tcPr>
            <w:tcW w:type="dxa" w:w="2340"/>
          </w:tcPr>
          <w:p>
            <w:pPr>
              <w:jc w:val="left"/>
            </w:pPr>
            <w:r>
              <w:rPr>
                <w:rFonts w:ascii="Times New Roman" w:hAnsi="Times New Roman"/>
                <w:sz w:val="22"/>
              </w:rPr>
              <w:t>**0.88**</w:t>
            </w:r>
          </w:p>
        </w:tc>
        <w:tc>
          <w:tcPr>
            <w:tcW w:type="dxa" w:w="2340"/>
          </w:tcPr>
          <w:p>
            <w:pPr>
              <w:jc w:val="left"/>
            </w:pPr>
            <w:r>
              <w:rPr>
                <w:rFonts w:ascii="Times New Roman" w:hAnsi="Times New Roman"/>
                <w:sz w:val="22"/>
              </w:rPr>
              <w:t>**Good**</w:t>
            </w:r>
          </w:p>
        </w:tc>
      </w:tr>
    </w:tbl>
    <w:p>
      <w:pPr>
        <w:spacing w:after="120"/>
      </w:pPr>
    </w:p>
    <w:p>
      <w:pPr>
        <w:jc w:val="both"/>
      </w:pPr>
      <w:r>
        <w:rPr>
          <w:rFonts w:ascii="Times New Roman" w:hAnsi="Times New Roman"/>
          <w:i/>
          <w:sz w:val="24"/>
        </w:rPr>
        <w:t>Source: Pilot study data, 2024</w:t>
      </w:r>
    </w:p>
    <w:p>
      <w:pPr>
        <w:jc w:val="both"/>
      </w:pPr>
      <w:r>
        <w:rPr>
          <w:rFonts w:ascii="Times New Roman" w:hAnsi="Times New Roman"/>
          <w:sz w:val="24"/>
        </w:rPr>
        <w:t xml:space="preserve">The results presented in Table 3.9 indicate that all four primary scales demonstrated acceptable to excellent internal consistency. The Cronbach’s alpha coefficients ranged from 0.79 for the Mobility &amp; Logistics Technology Adoption scale to 0.91 for the Strategic Defence Capability Enhancement scale </w:t>
      </w:r>
      <w:hyperlink r:id="rId31">
        <w:r>
          <w:rPr>
            <w:rFonts w:ascii="Times New Roman" w:hAnsi="Times New Roman"/>
            <w:sz w:val="24"/>
            <w:color w:val="000000"/>
          </w:rPr>
          <w:t>(George &amp; Mallery, 2003)</w:t>
        </w:r>
      </w:hyperlink>
      <w:r>
        <w:rPr>
          <w:rFonts w:ascii="Times New Roman" w:hAnsi="Times New Roman"/>
          <w:sz w:val="24"/>
        </w:rPr>
        <w:t xml:space="preserve">. The overall instrument reliability of 0.88 was classified as good, confirming that the questionnaire items collectively provided a consistent measure of the core constructs under investigation </w:t>
      </w:r>
      <w:hyperlink r:id="rId30">
        <w:r>
          <w:rPr>
            <w:rFonts w:ascii="Times New Roman" w:hAnsi="Times New Roman"/>
            <w:sz w:val="24"/>
            <w:color w:val="000000"/>
          </w:rPr>
          <w:t>(Tavakol &amp; Dennick, 2011)</w:t>
        </w:r>
      </w:hyperlink>
      <w:r>
        <w:rPr>
          <w:rFonts w:ascii="Times New Roman" w:hAnsi="Times New Roman"/>
          <w:sz w:val="24"/>
        </w:rPr>
        <w:t xml:space="preserve">. Consequently, no items required deletion from the final survey, as all item-total correlations were satisfactory and the removal of any item would not have materially improved the alpha coefficients for their respective scales </w:t>
      </w:r>
      <w:hyperlink r:id="rId28">
        <w:r>
          <w:rPr>
            <w:rFonts w:ascii="Times New Roman" w:hAnsi="Times New Roman"/>
            <w:sz w:val="24"/>
            <w:color w:val="000000"/>
          </w:rPr>
          <w:t>(Hair et al., 2019)</w:t>
        </w:r>
      </w:hyperlink>
      <w:r>
        <w:rPr>
          <w:rFonts w:ascii="Times New Roman" w:hAnsi="Times New Roman"/>
          <w:sz w:val="24"/>
        </w:rPr>
        <w:t>.</w:t>
      </w:r>
    </w:p>
    <w:p>
      <w:pPr>
        <w:pStyle w:val="Heading2"/>
      </w:pPr>
      <w:r>
        <w:rPr>
          <w:b/>
          <w:color w:val="000000"/>
        </w:rPr>
        <w:t>3.10 Data Collection Procedures</w:t>
      </w:r>
    </w:p>
    <w:p>
      <w:pPr>
        <w:jc w:val="both"/>
      </w:pPr>
      <w:r>
        <w:rPr>
          <w:rFonts w:ascii="Times New Roman" w:hAnsi="Times New Roman"/>
          <w:sz w:val="24"/>
        </w:rPr>
        <w:t>The primary data collection for this study employed a drop-and-pick-later administration method for structured questionnaires. This approach was selected as the most contextually appropriate method for investigating the role of modern military technology in strengthening South Sudan's defense capabilities, given the operational security sensitivities and potential connectivity limitations within defense institutions. Physical questionnaires were delivered to a purposively sampled group of respondents, including senior officers from the South Sudan People’s Defence Forces (SSPDF) and officials from the Ministry of Defence and Veterans Affairs (MODVA), who were then given a designated period to complete them in a secure setting. This method balanced the need for direct access to key informants with the flexibility required for them to provide considered responses without the immediate presence of a researcher, which could have been perceived as intrusive. The primary data collection phase was conducted over an eight-week period from March to April 2024.</w:t>
      </w:r>
    </w:p>
    <w:p>
      <w:pPr>
        <w:jc w:val="both"/>
      </w:pPr>
      <w:r>
        <w:rPr>
          <w:rFonts w:ascii="Times New Roman" w:hAnsi="Times New Roman"/>
          <w:sz w:val="24"/>
        </w:rPr>
        <w:t>The step-by-step procedure commenced with obtaining an official introductory letter and ethical clearance from the university to legitimize the research engagement. Subsequently, formal contact was established with the public relations and protocol offices of the SSPDF and MODVA to secure necessary access and cooperation. Following this gatekeeper approval, a total of 120 questionnaires, as determined by the sample frame, were physically distributed to the sampled respondents across relevant departments and units. Each questionnaire packet included a cover letter with clear instructions, a statement of informed consent, and explicit assurances regarding the confidentiality of all provided information and the anonymity of participants. Respondents were given seven days to complete the instruments, after which the researcher collected the sealed envelopes. Upon collection, each questionnaire was immediately checked for completeness and clarity, with any ambiguities flagged for potential follow-up clarification.</w:t>
      </w:r>
    </w:p>
    <w:p>
      <w:pPr>
        <w:jc w:val="both"/>
      </w:pPr>
      <w:r>
        <w:rPr>
          <w:rFonts w:ascii="Times New Roman" w:hAnsi="Times New Roman"/>
          <w:sz w:val="24"/>
        </w:rPr>
        <w:t xml:space="preserve">To maximize the response rate, several proactive strategies were implemented, targeting a rate above 70% to ensure robust data validity. An introductory letter detailing the academic purpose and potential contributions of the study was attached to every questionnaire to enhance perceived legitimacy and value. Multiple follow-up reminders via secure phone calls and, where available, official email were conducted after the initial distribution and prior to the collection date. The assurance of confidentiality and anonymity was reiterated in all communications to mitigate apprehensions. Furthermore, convenient return methods, including the provision of sealed drop-boxes at designated secure locations, were arranged to reduce respondent burden. These techniques align with established survey methodology principles for improving participation in organizational settings </w:t>
      </w:r>
      <w:hyperlink r:id="rId33">
        <w:r>
          <w:rPr>
            <w:rFonts w:ascii="Times New Roman" w:hAnsi="Times New Roman"/>
            <w:sz w:val="24"/>
            <w:color w:val="000000"/>
          </w:rPr>
          <w:t>(Fowler, 2014)</w:t>
        </w:r>
      </w:hyperlink>
      <w:r>
        <w:rPr>
          <w:rFonts w:ascii="Times New Roman" w:hAnsi="Times New Roman"/>
          <w:sz w:val="24"/>
        </w:rPr>
        <w:t>. The combination of institutional endorsement, persistent yet respectful follow-up, and guaranteed data protection was critical for achieving a satisfactory response rate from a professional military cohort.</w:t>
      </w:r>
    </w:p>
    <w:p>
      <w:pPr>
        <w:jc w:val="both"/>
      </w:pPr>
      <w:r>
        <w:rPr>
          <w:rFonts w:ascii="Times New Roman" w:hAnsi="Times New Roman"/>
          <w:sz w:val="24"/>
        </w:rPr>
        <w:t>Secondary data was systematically gathered to supplement and triangulate the primary findings, forming the foundation for the literature review and providing contextual depth. Key sources included peer-reviewed journal articles on military modernization and defense economics, relevant books on security sector reform, official government reports such as national security strategies and defense white papers from South Sudan and comparative regional states, and archival records from international organizations like the United Nations Panel of Experts reports. These documents were accessed through academic databases including Google Scholar, JSTOR, and the SIPRI Arms Transfers Database, as well as the official online portals of the MODVA and regional intergovernmental bodies. This secondary data provided essential historical context, validated technological trends, and helped frame the primary data within the broader discourse on post-conflict military capacity building, ensuring a comprehensive analysis.</w:t>
      </w:r>
    </w:p>
    <w:p>
      <w:pPr>
        <w:pStyle w:val="Heading2"/>
      </w:pPr>
      <w:r>
        <w:rPr>
          <w:b/>
          <w:color w:val="000000"/>
        </w:rPr>
        <w:t>3.11 Data Analysis Procedures</w:t>
      </w:r>
    </w:p>
    <w:p>
      <w:pPr>
        <w:jc w:val="both"/>
      </w:pPr>
      <w:r>
        <w:rPr>
          <w:rFonts w:ascii="Times New Roman" w:hAnsi="Times New Roman"/>
          <w:sz w:val="24"/>
        </w:rPr>
        <w:t xml:space="preserve">The data preparation phase is critical for ensuring the quality and reliability of subsequent statistical analyses. This process begins with coding, where categorical responses such as gender (e.g., Male=1, Female=2) and ordinal Likert-scale items (e.g., 1=Strongly Disagree to 5=Strongly Agree) are assigned numerical values for quantitative processing </w:t>
      </w:r>
      <w:hyperlink r:id="rId34">
        <w:r>
          <w:rPr>
            <w:rFonts w:ascii="Times New Roman" w:hAnsi="Times New Roman"/>
            <w:sz w:val="24"/>
            <w:color w:val="000000"/>
          </w:rPr>
          <w:t>(Pallant, 2020)</w:t>
        </w:r>
      </w:hyperlink>
      <w:r>
        <w:rPr>
          <w:rFonts w:ascii="Times New Roman" w:hAnsi="Times New Roman"/>
          <w:sz w:val="24"/>
        </w:rPr>
        <w:t xml:space="preserve">. Following coding, data is systematically entered into a designated statistical software platform. A comprehensive cleaning procedure is then undertaken to identify and address data integrity issues, including missing values, out-of-range entries, and logical inconsistencies. For handling missing data, a combination of listwise deletion for substantial non-response and mean imputation for sporadic missing values in scale items will be employed, guided by the patterns of missingness to minimize bias </w:t>
      </w:r>
      <w:hyperlink r:id="rId34">
        <w:r>
          <w:rPr>
            <w:rFonts w:ascii="Times New Roman" w:hAnsi="Times New Roman"/>
            <w:sz w:val="24"/>
            <w:color w:val="000000"/>
          </w:rPr>
          <w:t>(Pallant, 2020)</w:t>
        </w:r>
      </w:hyperlink>
      <w:r>
        <w:rPr>
          <w:rFonts w:ascii="Times New Roman" w:hAnsi="Times New Roman"/>
          <w:sz w:val="24"/>
        </w:rPr>
        <w:t>. This rigorous preparation establishes a valid dataset for analysis.</w:t>
      </w:r>
    </w:p>
    <w:p>
      <w:pPr>
        <w:jc w:val="both"/>
      </w:pPr>
      <w:r>
        <w:rPr>
          <w:rFonts w:ascii="Times New Roman" w:hAnsi="Times New Roman"/>
          <w:sz w:val="24"/>
        </w:rPr>
        <w:t xml:space="preserve">For the execution of all statistical procedures, IBM SPSS Statistics (Version 27) will be utilized as the primary software environment. SPSS was selected for its robust capabilities in handling complex datasets, performing a wide array of statistical tests from descriptive to advanced inferential analyses, and its user-friendly interface for data management </w:t>
      </w:r>
      <w:hyperlink r:id="rId35">
        <w:r>
          <w:rPr>
            <w:rFonts w:ascii="Times New Roman" w:hAnsi="Times New Roman"/>
            <w:sz w:val="24"/>
            <w:color w:val="000000"/>
          </w:rPr>
          <w:t>(Field, 2018)</w:t>
        </w:r>
      </w:hyperlink>
      <w:r>
        <w:rPr>
          <w:rFonts w:ascii="Times New Roman" w:hAnsi="Times New Roman"/>
          <w:sz w:val="24"/>
        </w:rPr>
        <w:t>. The software’s reliability and widespread acceptance in social science and defense studies ensure the analytical processes are both rigorous and reproducible. The specific version number (27) is documented to provide transparency and facilitate the replication of this study’s analytical workflow. Furthermore, SPSS’s integrated tools for assumption checking and model diagnostics make it a comprehensive solution for the planned regression analyses.</w:t>
      </w:r>
    </w:p>
    <w:p>
      <w:pPr>
        <w:jc w:val="both"/>
      </w:pPr>
      <w:r>
        <w:rPr>
          <w:rFonts w:ascii="Times New Roman" w:hAnsi="Times New Roman"/>
          <w:sz w:val="24"/>
        </w:rPr>
        <w:t xml:space="preserve">Descriptive statistics will be computed to summarize the sample characteristics and the central tendencies of all measured variables. For the demographic variables collected in Section A of the survey (e.g., rank, years of service, deployment history), frequencies and percentages will be calculated to profile the respondent population </w:t>
      </w:r>
      <w:hyperlink r:id="rId35">
        <w:r>
          <w:rPr>
            <w:rFonts w:ascii="Times New Roman" w:hAnsi="Times New Roman"/>
            <w:sz w:val="24"/>
            <w:color w:val="000000"/>
          </w:rPr>
          <w:t>(Field, 2018)</w:t>
        </w:r>
      </w:hyperlink>
      <w:r>
        <w:rPr>
          <w:rFonts w:ascii="Times New Roman" w:hAnsi="Times New Roman"/>
          <w:sz w:val="24"/>
        </w:rPr>
        <w:t xml:space="preserve">. For the core Likert-scale variables measuring perceptions of modern military technology (Sections B-D), the mean and standard deviation will be the primary descriptive measures, indicating the average response and the degree of dispersion around that average for each item and composite scale. These results will be presented clearly in summary tables and appropriate graphical representations (e.g., bar charts, histograms) to describe the distribution of responses before proceeding to hypothesis testing </w:t>
      </w:r>
      <w:hyperlink r:id="rId34">
        <w:r>
          <w:rPr>
            <w:rFonts w:ascii="Times New Roman" w:hAnsi="Times New Roman"/>
            <w:sz w:val="24"/>
            <w:color w:val="000000"/>
          </w:rPr>
          <w:t>(Pallant, 2020)</w:t>
        </w:r>
      </w:hyperlink>
      <w:r>
        <w:rPr>
          <w:rFonts w:ascii="Times New Roman" w:hAnsi="Times New Roman"/>
          <w:sz w:val="24"/>
        </w:rPr>
        <w:t>.</w:t>
      </w:r>
    </w:p>
    <w:p>
      <w:pPr>
        <w:jc w:val="both"/>
      </w:pPr>
      <w:r>
        <w:rPr>
          <w:rFonts w:ascii="Times New Roman" w:hAnsi="Times New Roman"/>
          <w:sz w:val="24"/>
        </w:rPr>
        <w:t>To examine the bivariate relationships between key study variables, Pearson’s product-moment correlation coefficient (r) will be employed. This inferential statistic quantifies the strength and direction of a linear association between two continuous variables. The formula for r is expressed as:</w:t>
      </w:r>
    </w:p>
    <w:p>
      <w:pPr>
        <w:jc w:val="center"/>
      </w:pPr>
      <m:oMath>
        <m:box>
          <m:e>
            <m:r>
              <m:rPr>
                <m:sty m:val="i"/>
              </m:rPr>
              <m:t>r</m:t>
            </m:r>
            <m:r>
              <m:rPr>
                <m:sty m:val="p"/>
              </m:rPr>
              <m:t>=</m:t>
            </m:r>
            <m:f>
              <m:num>
                <m:box>
                  <m:e>
                    <m:r>
                      <m:rPr>
                        <m:sty m:val="p"/>
                      </m:rPr>
                      <m:t>∑</m:t>
                    </m:r>
                    <m:r>
                      <m:rPr>
                        <m:sty m:val="p"/>
                      </m:rPr>
                      <m:t>(</m:t>
                    </m:r>
                    <m:sSub>
                      <m:e>
                        <m:r>
                          <m:rPr>
                            <m:sty m:val="i"/>
                          </m:rPr>
                          <m:t>x</m:t>
                        </m:r>
                      </m:e>
                      <m:sub>
                        <m:r>
                          <m:rPr>
                            <m:sty m:val="i"/>
                          </m:rPr>
                          <m:t>i</m:t>
                        </m:r>
                      </m:sub>
                    </m:sSub>
                    <m:r>
                      <m:rPr>
                        <m:sty m:val="p"/>
                      </m:rPr>
                      <m:t>−</m:t>
                    </m:r>
                    <m:limUpp>
                      <m:e>
                        <m:box>
                          <m:e>
                            <m:r>
                              <m:rPr>
                                <m:sty m:val="i"/>
                              </m:rPr>
                              <m:t>x</m:t>
                            </m:r>
                          </m:e>
                        </m:box>
                      </m:e>
                      <m:lim>
                        <m:r>
                          <m:rPr>
                            <m:sty m:val="p"/>
                          </m:rPr>
                          <m:t>―</m:t>
                        </m:r>
                      </m:lim>
                    </m:limUpp>
                    <m:r>
                      <m:rPr>
                        <m:sty m:val="p"/>
                      </m:rPr>
                      <m:t>)</m:t>
                    </m:r>
                    <m:r>
                      <m:rPr>
                        <m:sty m:val="p"/>
                      </m:rPr>
                      <m:t>(</m:t>
                    </m:r>
                    <m:sSub>
                      <m:e>
                        <m:r>
                          <m:rPr>
                            <m:sty m:val="i"/>
                          </m:rPr>
                          <m:t>y</m:t>
                        </m:r>
                      </m:e>
                      <m:sub>
                        <m:r>
                          <m:rPr>
                            <m:sty m:val="i"/>
                          </m:rPr>
                          <m:t>i</m:t>
                        </m:r>
                      </m:sub>
                    </m:sSub>
                    <m:r>
                      <m:rPr>
                        <m:sty m:val="p"/>
                      </m:rPr>
                      <m:t>−</m:t>
                    </m:r>
                    <m:limUpp>
                      <m:e>
                        <m:box>
                          <m:e>
                            <m:r>
                              <m:rPr>
                                <m:sty m:val="i"/>
                              </m:rPr>
                              <m:t>y</m:t>
                            </m:r>
                          </m:e>
                        </m:box>
                      </m:e>
                      <m:lim>
                        <m:r>
                          <m:rPr>
                            <m:sty m:val="p"/>
                          </m:rPr>
                          <m:t>―</m:t>
                        </m:r>
                      </m:lim>
                    </m:limUpp>
                    <m:r>
                      <m:rPr>
                        <m:sty m:val="p"/>
                      </m:rPr>
                      <m:t>)</m:t>
                    </m:r>
                  </m:e>
                </m:box>
              </m:num>
              <m:den>
                <m:box>
                  <m:e>
                    <m:rad>
                      <m:e>
                        <m:box>
                          <m:e>
                            <m:box>
                              <m:e>
                                <m:r>
                                  <m:rPr>
                                    <m:sty m:val="p"/>
                                  </m:rPr>
                                  <m:t>∑</m:t>
                                </m:r>
                                <m:r>
                                  <m:rPr>
                                    <m:sty m:val="p"/>
                                  </m:rPr>
                                  <m:t>(</m:t>
                                </m:r>
                                <m:sSub>
                                  <m:e>
                                    <m:r>
                                      <m:rPr>
                                        <m:sty m:val="i"/>
                                      </m:rPr>
                                      <m:t>x</m:t>
                                    </m:r>
                                  </m:e>
                                  <m:sub>
                                    <m:r>
                                      <m:rPr>
                                        <m:sty m:val="i"/>
                                      </m:rPr>
                                      <m:t>i</m:t>
                                    </m:r>
                                  </m:sub>
                                </m:sSub>
                                <m:r>
                                  <m:rPr>
                                    <m:sty m:val="p"/>
                                  </m:rPr>
                                  <m:t>−</m:t>
                                </m:r>
                                <m:limUpp>
                                  <m:e>
                                    <m:box>
                                      <m:e>
                                        <m:r>
                                          <m:rPr>
                                            <m:sty m:val="i"/>
                                          </m:rPr>
                                          <m:t>x</m:t>
                                        </m:r>
                                      </m:e>
                                    </m:box>
                                  </m:e>
                                  <m:lim>
                                    <m:r>
                                      <m:rPr>
                                        <m:sty m:val="p"/>
                                      </m:rPr>
                                      <m:t>―</m:t>
                                    </m:r>
                                  </m:lim>
                                </m:limUpp>
                                <m:sSup>
                                  <m:e>
                                    <m:r>
                                      <m:rPr>
                                        <m:sty m:val="p"/>
                                      </m:rPr>
                                      <m:t>)</m:t>
                                    </m:r>
                                  </m:e>
                                  <m:sup>
                                    <m:r>
                                      <m:rPr>
                                        <m:sty m:val="p"/>
                                      </m:rPr>
                                      <m:t>2</m:t>
                                    </m:r>
                                  </m:sup>
                                </m:sSup>
                                <m:r>
                                  <m:rPr>
                                    <m:sty m:val="p"/>
                                  </m:rPr>
                                  <m:t>∑</m:t>
                                </m:r>
                                <m:r>
                                  <m:rPr>
                                    <m:sty m:val="p"/>
                                  </m:rPr>
                                  <m:t>(</m:t>
                                </m:r>
                                <m:sSub>
                                  <m:e>
                                    <m:r>
                                      <m:rPr>
                                        <m:sty m:val="i"/>
                                      </m:rPr>
                                      <m:t>y</m:t>
                                    </m:r>
                                  </m:e>
                                  <m:sub>
                                    <m:r>
                                      <m:rPr>
                                        <m:sty m:val="i"/>
                                      </m:rPr>
                                      <m:t>i</m:t>
                                    </m:r>
                                  </m:sub>
                                </m:sSub>
                                <m:r>
                                  <m:rPr>
                                    <m:sty m:val="p"/>
                                  </m:rPr>
                                  <m:t>−</m:t>
                                </m:r>
                                <m:limUpp>
                                  <m:e>
                                    <m:box>
                                      <m:e>
                                        <m:r>
                                          <m:rPr>
                                            <m:sty m:val="i"/>
                                          </m:rPr>
                                          <m:t>y</m:t>
                                        </m:r>
                                      </m:e>
                                    </m:box>
                                  </m:e>
                                  <m:lim>
                                    <m:r>
                                      <m:rPr>
                                        <m:sty m:val="p"/>
                                      </m:rPr>
                                      <m:t>―</m:t>
                                    </m:r>
                                  </m:lim>
                                </m:limUpp>
                                <m:sSup>
                                  <m:e>
                                    <m:r>
                                      <m:rPr>
                                        <m:sty m:val="p"/>
                                      </m:rPr>
                                      <m:t>)</m:t>
                                    </m:r>
                                  </m:e>
                                  <m:sup>
                                    <m:r>
                                      <m:rPr>
                                        <m:sty m:val="p"/>
                                      </m:rPr>
                                      <m:t>2</m:t>
                                    </m:r>
                                  </m:sup>
                                </m:sSup>
                              </m:e>
                            </m:box>
                          </m:e>
                        </m:box>
                      </m:e>
                    </m:rad>
                  </m:e>
                </m:box>
              </m:den>
            </m:f>
          </m:e>
        </m:box>
      </m:oMath>
    </w:p>
    <w:p>
      <w:pPr>
        <w:jc w:val="both"/>
      </w:pPr>
      <w:r>
        <w:rPr>
          <w:rFonts w:ascii="Times New Roman" w:hAnsi="Times New Roman"/>
          <w:sz w:val="24"/>
        </w:rPr>
        <w:t xml:space="preserve">The coefficient yields a value between -1 and +1, where values closer to the extremes indicate a stronger relationship, and the sign indicates the direction (positive or negative) </w:t>
      </w:r>
      <w:hyperlink r:id="rId36">
        <w:r>
          <w:rPr>
            <w:rFonts w:ascii="Times New Roman" w:hAnsi="Times New Roman"/>
            <w:sz w:val="24"/>
            <w:color w:val="000000"/>
          </w:rPr>
          <w:t>(Cohen, 1988)</w:t>
        </w:r>
      </w:hyperlink>
      <w:r>
        <w:rPr>
          <w:rFonts w:ascii="Times New Roman" w:hAnsi="Times New Roman"/>
          <w:sz w:val="24"/>
        </w:rPr>
        <w:t>. The primary purpose in this study is to test the preliminary associations between independent variables (e.g., technology adoption levels, training adequacy) and the dependent variable of defense capabilities strength. This analysis provides an initial understanding of how variables co-vary before modeling their combined effect.</w:t>
      </w:r>
    </w:p>
    <w:p>
      <w:pPr>
        <w:jc w:val="both"/>
      </w:pPr>
      <w:r>
        <w:rPr>
          <w:rFonts w:ascii="Times New Roman" w:hAnsi="Times New Roman"/>
          <w:sz w:val="24"/>
        </w:rPr>
        <w:t>To test the collective impact of modern military technology factors on defense capabilities, a multiple linear regression analysis will be conducted. This model allows for the examination of the effect of several predictor variables on a single outcome variable while controlling for the others. The specific regression equation for this study is specified as:</w:t>
      </w:r>
    </w:p>
    <w:p>
      <w:pPr>
        <w:jc w:val="center"/>
      </w:pPr>
      <m:oMath>
        <m:box>
          <m:e>
            <m:r>
              <m:rPr>
                <m:sty m:val="i"/>
              </m:rPr>
              <m:t>Y</m:t>
            </m:r>
            <m:r>
              <m:rPr>
                <m:sty m:val="p"/>
              </m:rPr>
              <m:t>=</m:t>
            </m:r>
            <m:sSub>
              <m:e>
                <m:r>
                  <m:rPr>
                    <m:sty m:val="i"/>
                  </m:rPr>
                  <m:t>β</m:t>
                </m:r>
              </m:e>
              <m:sub>
                <m:r>
                  <m:rPr>
                    <m:sty m:val="p"/>
                  </m:rPr>
                  <m:t>0</m:t>
                </m:r>
              </m:sub>
            </m:sSub>
            <m:r>
              <m:rPr>
                <m:sty m:val="p"/>
              </m:rPr>
              <m:t>+</m:t>
            </m:r>
            <m:sSub>
              <m:e>
                <m:r>
                  <m:rPr>
                    <m:sty m:val="i"/>
                  </m:rPr>
                  <m:t>β</m:t>
                </m:r>
              </m:e>
              <m:sub>
                <m:r>
                  <m:rPr>
                    <m:sty m:val="p"/>
                  </m:rPr>
                  <m:t>1</m:t>
                </m:r>
              </m:sub>
            </m:sSub>
            <m:sSub>
              <m:e>
                <m:r>
                  <m:rPr>
                    <m:sty m:val="i"/>
                  </m:rPr>
                  <m:t>X</m:t>
                </m:r>
              </m:e>
              <m:sub>
                <m:r>
                  <m:rPr>
                    <m:sty m:val="p"/>
                  </m:rPr>
                  <m:t>1</m:t>
                </m:r>
              </m:sub>
            </m:sSub>
            <m:r>
              <m:rPr>
                <m:sty m:val="p"/>
              </m:rPr>
              <m:t>+</m:t>
            </m:r>
            <m:sSub>
              <m:e>
                <m:r>
                  <m:rPr>
                    <m:sty m:val="i"/>
                  </m:rPr>
                  <m:t>β</m:t>
                </m:r>
              </m:e>
              <m:sub>
                <m:r>
                  <m:rPr>
                    <m:sty m:val="p"/>
                  </m:rPr>
                  <m:t>2</m:t>
                </m:r>
              </m:sub>
            </m:sSub>
            <m:sSub>
              <m:e>
                <m:r>
                  <m:rPr>
                    <m:sty m:val="i"/>
                  </m:rPr>
                  <m:t>X</m:t>
                </m:r>
              </m:e>
              <m:sub>
                <m:r>
                  <m:rPr>
                    <m:sty m:val="p"/>
                  </m:rPr>
                  <m:t>2</m:t>
                </m:r>
              </m:sub>
            </m:sSub>
            <m:r>
              <m:rPr>
                <m:sty m:val="p"/>
              </m:rPr>
              <m:t>+</m:t>
            </m:r>
            <m:sSub>
              <m:e>
                <m:r>
                  <m:rPr>
                    <m:sty m:val="i"/>
                  </m:rPr>
                  <m:t>β</m:t>
                </m:r>
              </m:e>
              <m:sub>
                <m:r>
                  <m:rPr>
                    <m:sty m:val="p"/>
                  </m:rPr>
                  <m:t>3</m:t>
                </m:r>
              </m:sub>
            </m:sSub>
            <m:sSub>
              <m:e>
                <m:r>
                  <m:rPr>
                    <m:sty m:val="i"/>
                  </m:rPr>
                  <m:t>X</m:t>
                </m:r>
              </m:e>
              <m:sub>
                <m:r>
                  <m:rPr>
                    <m:sty m:val="p"/>
                  </m:rPr>
                  <m:t>3</m:t>
                </m:r>
              </m:sub>
            </m:sSub>
            <m:r>
              <m:rPr>
                <m:sty m:val="p"/>
              </m:rPr>
              <m:t>+</m:t>
            </m:r>
            <m:r>
              <m:rPr>
                <m:sty m:val="i"/>
              </m:rPr>
              <m:t>ε</m:t>
            </m:r>
          </m:e>
        </m:box>
      </m:oMath>
    </w:p>
    <w:p>
      <w:pPr>
        <w:jc w:val="both"/>
      </w:pPr>
      <w:r>
        <w:rPr>
          <w:rFonts w:ascii="Times New Roman" w:hAnsi="Times New Roman"/>
          <w:sz w:val="24"/>
        </w:rPr>
        <w:t xml:space="preserve">Where Y represents the dependent variable, </w:t>
      </w:r>
      <w:r>
        <w:rPr>
          <w:rFonts w:ascii="Times New Roman" w:hAnsi="Times New Roman"/>
          <w:i/>
          <w:sz w:val="24"/>
        </w:rPr>
        <w:t>Perceived Strength of Defense Capabilities</w:t>
      </w:r>
      <w:r>
        <w:rPr>
          <w:rFonts w:ascii="Times New Roman" w:hAnsi="Times New Roman"/>
          <w:sz w:val="24"/>
        </w:rPr>
        <w:t xml:space="preserve">; X₁ represents </w:t>
      </w:r>
      <w:r>
        <w:rPr>
          <w:rFonts w:ascii="Times New Roman" w:hAnsi="Times New Roman"/>
          <w:i/>
          <w:sz w:val="24"/>
        </w:rPr>
        <w:t>Surveillance &amp; Reconnaissance Technology</w:t>
      </w:r>
      <w:r>
        <w:rPr>
          <w:rFonts w:ascii="Times New Roman" w:hAnsi="Times New Roman"/>
          <w:sz w:val="24"/>
        </w:rPr>
        <w:t xml:space="preserve">; X₂ represents </w:t>
      </w:r>
      <w:r>
        <w:rPr>
          <w:rFonts w:ascii="Times New Roman" w:hAnsi="Times New Roman"/>
          <w:i/>
          <w:sz w:val="24"/>
        </w:rPr>
        <w:t>Networked Communication Systems</w:t>
      </w:r>
      <w:r>
        <w:rPr>
          <w:rFonts w:ascii="Times New Roman" w:hAnsi="Times New Roman"/>
          <w:sz w:val="24"/>
        </w:rPr>
        <w:t xml:space="preserve">; X₃ represents </w:t>
      </w:r>
      <w:r>
        <w:rPr>
          <w:rFonts w:ascii="Times New Roman" w:hAnsi="Times New Roman"/>
          <w:i/>
          <w:sz w:val="24"/>
        </w:rPr>
        <w:t>Precision Strike Capabilities</w:t>
      </w:r>
      <w:r>
        <w:rPr>
          <w:rFonts w:ascii="Times New Roman" w:hAnsi="Times New Roman"/>
          <w:sz w:val="24"/>
        </w:rPr>
        <w:t>; β₀ is the intercept; β₁, β₂, and β₃ are the regression coefficients quantifying each independent variable's impact; and ε is the error term. This model directly corresponds to the research objectives aiming to quantify the contribution of distinct technological domains.</w:t>
      </w:r>
    </w:p>
    <w:p>
      <w:pPr>
        <w:jc w:val="both"/>
      </w:pPr>
      <w:r>
        <w:rPr>
          <w:rFonts w:ascii="Times New Roman" w:hAnsi="Times New Roman"/>
          <w:sz w:val="24"/>
        </w:rPr>
        <w:t xml:space="preserve">Prior to interpreting the regression output, key statistical assumptions must be validated. These include linearity of relationships, normality of residuals, homoscedasticity (constant variance of residuals), and absence of excessive multicollinearity among predictors </w:t>
      </w:r>
      <w:hyperlink r:id="rId37">
        <w:r>
          <w:rPr>
            <w:rFonts w:ascii="Times New Roman" w:hAnsi="Times New Roman"/>
            <w:sz w:val="24"/>
            <w:color w:val="000000"/>
          </w:rPr>
          <w:t>(Hair et al., 2019)</w:t>
        </w:r>
      </w:hyperlink>
      <w:r>
        <w:rPr>
          <w:rFonts w:ascii="Times New Roman" w:hAnsi="Times New Roman"/>
          <w:sz w:val="24"/>
        </w:rPr>
        <w:t xml:space="preserve">. Multicollinearity will be assessed using Variance Inflation Factor (VIF) statistics, with a VIF value exceeding 10 indicating a serious concern. The Durbin-Watson statistic will be checked for independence of errors (autocorrelation). All inferential tests will use a significance level (α) of 0.05. The model's overall fit will be evaluated using the R² and Adjusted R² statistics, and the F-test of overall significance </w:t>
      </w:r>
      <w:hyperlink r:id="rId37">
        <w:r>
          <w:rPr>
            <w:rFonts w:ascii="Times New Roman" w:hAnsi="Times New Roman"/>
            <w:sz w:val="24"/>
            <w:color w:val="000000"/>
          </w:rPr>
          <w:t>(Tabachnick &amp; Fidell, 2019)</w:t>
        </w:r>
      </w:hyperlink>
      <w:r>
        <w:rPr>
          <w:rFonts w:ascii="Times New Roman" w:hAnsi="Times New Roman"/>
          <w:sz w:val="24"/>
        </w:rPr>
        <w:t>. The coefficients (β) will be examined to determine the unique contribution of each technological variable to strengthening defense capabilities.</w:t>
      </w:r>
    </w:p>
    <w:p>
      <w:pPr>
        <w:pStyle w:val="Heading2"/>
      </w:pPr>
      <w:r>
        <w:rPr>
          <w:b/>
          <w:color w:val="000000"/>
        </w:rPr>
        <w:t>3.12 Ethical Considerations</w:t>
      </w:r>
    </w:p>
    <w:p>
      <w:pPr>
        <w:jc w:val="both"/>
      </w:pPr>
      <w:r>
        <w:rPr>
          <w:rFonts w:ascii="Times New Roman" w:hAnsi="Times New Roman"/>
          <w:sz w:val="24"/>
        </w:rPr>
        <w:t xml:space="preserve">Conducting research with integrity requires adherence to a robust framework of moral principles that govern the design, execution, and dissemination of a study, ensuring the protection and dignity of all participants </w:t>
      </w:r>
      <w:hyperlink r:id="rId16">
        <w:r>
          <w:rPr>
            <w:rFonts w:ascii="Times New Roman" w:hAnsi="Times New Roman"/>
            <w:sz w:val="24"/>
            <w:color w:val="000000"/>
          </w:rPr>
          <w:t>(Bryman, 2016)</w:t>
        </w:r>
      </w:hyperlink>
      <w:r>
        <w:rPr>
          <w:rFonts w:ascii="Times New Roman" w:hAnsi="Times New Roman"/>
          <w:sz w:val="24"/>
        </w:rPr>
        <w:t xml:space="preserve">. In investigations involving human subjects, such as this analysis of defense capabilities, ethical considerations are paramount to mitigate potential risks and uphold the trustworthiness of the scientific process </w:t>
      </w:r>
      <w:hyperlink r:id="rId16">
        <w:r>
          <w:rPr>
            <w:rFonts w:ascii="Times New Roman" w:hAnsi="Times New Roman"/>
            <w:sz w:val="24"/>
            <w:color w:val="000000"/>
          </w:rPr>
          <w:t>(American Psychological Association, 2017)</w:t>
        </w:r>
      </w:hyperlink>
      <w:r>
        <w:rPr>
          <w:rFonts w:ascii="Times New Roman" w:hAnsi="Times New Roman"/>
          <w:sz w:val="24"/>
        </w:rPr>
        <w:t xml:space="preserve">. This research was therefore guided by established ethical protocols, committing to the highest standards of professional conduct as outlined by relevant institutional and national guidelines to ensure the study’s legitimacy and social value </w:t>
      </w:r>
      <w:hyperlink r:id="rId16">
        <w:r>
          <w:rPr>
            <w:rFonts w:ascii="Times New Roman" w:hAnsi="Times New Roman"/>
            <w:sz w:val="24"/>
            <w:color w:val="000000"/>
          </w:rPr>
          <w:t>(Ferdinand, 2018)</w:t>
        </w:r>
      </w:hyperlink>
      <w:r>
        <w:rPr>
          <w:rFonts w:ascii="Times New Roman" w:hAnsi="Times New Roman"/>
          <w:sz w:val="24"/>
        </w:rPr>
        <w:t>.</w:t>
      </w:r>
    </w:p>
    <w:p>
      <w:pPr>
        <w:jc w:val="both"/>
      </w:pPr>
      <w:r>
        <w:rPr>
          <w:rFonts w:ascii="Times New Roman" w:hAnsi="Times New Roman"/>
          <w:sz w:val="24"/>
        </w:rPr>
        <w:t xml:space="preserve">A foundational ethical pillar in this research was securing informed consent from all participants. Prior to any data collection, individuals were comprehensively briefed on the study’s purpose, procedures, potential risks, and anticipated benefits through detailed information sheets </w:t>
      </w:r>
      <w:hyperlink r:id="rId16">
        <w:r>
          <w:rPr>
            <w:rFonts w:ascii="Times New Roman" w:hAnsi="Times New Roman"/>
            <w:sz w:val="24"/>
            <w:color w:val="000000"/>
          </w:rPr>
          <w:t>(American Psychological Association, 2017)</w:t>
        </w:r>
      </w:hyperlink>
      <w:r>
        <w:rPr>
          <w:rFonts w:ascii="Times New Roman" w:hAnsi="Times New Roman"/>
          <w:sz w:val="24"/>
        </w:rPr>
        <w:t xml:space="preserve">. They were explicitly informed that their participation was entirely voluntary, with an unequivocal right to withdraw at any stage without penalty </w:t>
      </w:r>
      <w:hyperlink r:id="rId16">
        <w:r>
          <w:rPr>
            <w:rFonts w:ascii="Times New Roman" w:hAnsi="Times New Roman"/>
            <w:sz w:val="24"/>
            <w:color w:val="000000"/>
          </w:rPr>
          <w:t>(Bryman, 2016)</w:t>
        </w:r>
      </w:hyperlink>
      <w:r>
        <w:rPr>
          <w:rFonts w:ascii="Times New Roman" w:hAnsi="Times New Roman"/>
          <w:sz w:val="24"/>
        </w:rPr>
        <w:t xml:space="preserve">. Written consent was obtained using formal consent forms, confirming that participants had understood the provided information and agreed to partake in the study of their own free will, a critical step in respecting participant autonomy </w:t>
      </w:r>
      <w:hyperlink r:id="rId16">
        <w:r>
          <w:rPr>
            <w:rFonts w:ascii="Times New Roman" w:hAnsi="Times New Roman"/>
            <w:sz w:val="24"/>
            <w:color w:val="000000"/>
          </w:rPr>
          <w:t>(Ferdinand, 2018)</w:t>
        </w:r>
      </w:hyperlink>
      <w:r>
        <w:rPr>
          <w:rFonts w:ascii="Times New Roman" w:hAnsi="Times New Roman"/>
          <w:sz w:val="24"/>
        </w:rPr>
        <w:t>.</w:t>
      </w:r>
    </w:p>
    <w:p>
      <w:pPr>
        <w:jc w:val="both"/>
      </w:pPr>
      <w:r>
        <w:rPr>
          <w:rFonts w:ascii="Times New Roman" w:hAnsi="Times New Roman"/>
          <w:sz w:val="24"/>
        </w:rPr>
        <w:t xml:space="preserve">To protect participant privacy, stringent measures for confidentiality and anonymity were implemented throughout the research process. All identifying information was immediately separated from the research data, with participants assigned unique codes in place of names on all questionnaires and transcripts </w:t>
      </w:r>
      <w:hyperlink r:id="rId16">
        <w:r>
          <w:rPr>
            <w:rFonts w:ascii="Times New Roman" w:hAnsi="Times New Roman"/>
            <w:sz w:val="24"/>
            <w:color w:val="000000"/>
          </w:rPr>
          <w:t>(American Psychological Association, 2017)</w:t>
        </w:r>
      </w:hyperlink>
      <w:r>
        <w:rPr>
          <w:rFonts w:ascii="Times New Roman" w:hAnsi="Times New Roman"/>
          <w:sz w:val="24"/>
        </w:rPr>
        <w:t xml:space="preserve">. Collected data is stored securely in password-protected digital files and, for any physical documents, in locked cabinets accessible only to the principal researcher </w:t>
      </w:r>
      <w:hyperlink r:id="rId16">
        <w:r>
          <w:rPr>
            <w:rFonts w:ascii="Times New Roman" w:hAnsi="Times New Roman"/>
            <w:sz w:val="24"/>
            <w:color w:val="000000"/>
          </w:rPr>
          <w:t>(Bryman, 2016)</w:t>
        </w:r>
      </w:hyperlink>
      <w:r>
        <w:rPr>
          <w:rFonts w:ascii="Times New Roman" w:hAnsi="Times New Roman"/>
          <w:sz w:val="24"/>
        </w:rPr>
        <w:t xml:space="preserve">. Participants were assured that data would be used solely for the stated research purposes, with a clear plan for secure data retention for a specified period post-study completion, followed by certified disposal to prevent unauthorized access </w:t>
      </w:r>
      <w:hyperlink r:id="rId16">
        <w:r>
          <w:rPr>
            <w:rFonts w:ascii="Times New Roman" w:hAnsi="Times New Roman"/>
            <w:sz w:val="24"/>
            <w:color w:val="000000"/>
          </w:rPr>
          <w:t>(Ferdinand, 2018)</w:t>
        </w:r>
      </w:hyperlink>
      <w:r>
        <w:rPr>
          <w:rFonts w:ascii="Times New Roman" w:hAnsi="Times New Roman"/>
          <w:sz w:val="24"/>
        </w:rPr>
        <w:t>.</w:t>
      </w:r>
    </w:p>
    <w:p>
      <w:pPr>
        <w:jc w:val="both"/>
      </w:pPr>
      <w:r>
        <w:rPr>
          <w:rFonts w:ascii="Times New Roman" w:hAnsi="Times New Roman"/>
          <w:sz w:val="24"/>
        </w:rPr>
        <w:t xml:space="preserve">Furthermore, the research design proactively aimed to prevent harm, prioritizing the physical, psychological, and social well-being of participants. Interview and survey questions were carefully crafted to be non-intrusive and to avoid eliciting distress, particularly given the potentially sensitive context of discussing national defense </w:t>
      </w:r>
      <w:hyperlink r:id="rId16">
        <w:r>
          <w:rPr>
            <w:rFonts w:ascii="Times New Roman" w:hAnsi="Times New Roman"/>
            <w:sz w:val="24"/>
            <w:color w:val="000000"/>
          </w:rPr>
          <w:t>(American Psychological Association, 2017)</w:t>
        </w:r>
      </w:hyperlink>
      <w:r>
        <w:rPr>
          <w:rFonts w:ascii="Times New Roman" w:hAnsi="Times New Roman"/>
          <w:sz w:val="24"/>
        </w:rPr>
        <w:t xml:space="preserve">. The study protocol received formal institutional approval, commencing with an introductory letter from the university’s Graduate School authorizing the research </w:t>
      </w:r>
      <w:hyperlink r:id="rId16">
        <w:r>
          <w:rPr>
            <w:rFonts w:ascii="Times New Roman" w:hAnsi="Times New Roman"/>
            <w:sz w:val="24"/>
            <w:color w:val="000000"/>
          </w:rPr>
          <w:t>(Ferdinand, 2018)</w:t>
        </w:r>
      </w:hyperlink>
      <w:r>
        <w:rPr>
          <w:rFonts w:ascii="Times New Roman" w:hAnsi="Times New Roman"/>
          <w:sz w:val="24"/>
        </w:rPr>
        <w:t xml:space="preserve">. Subsequently, necessary organizational permissions were sought and obtained from relevant authorities within South Sudan’s defense sector prior to engagement with any personnel, ensuring all data collection activities were conducted with proper oversight and within established ethical boundaries </w:t>
      </w:r>
      <w:hyperlink r:id="rId16">
        <w:r>
          <w:rPr>
            <w:rFonts w:ascii="Times New Roman" w:hAnsi="Times New Roman"/>
            <w:sz w:val="24"/>
            <w:color w:val="000000"/>
          </w:rPr>
          <w:t>(Bryman, 2016)</w:t>
        </w:r>
      </w:hyperlink>
      <w:r>
        <w:rPr>
          <w:rFonts w:ascii="Times New Roman" w:hAnsi="Times New Roman"/>
          <w:sz w:val="24"/>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20" w:after="120"/>
      <w:jc w:val="left"/>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120"/>
      <w:jc w:val="left"/>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120" w:after="120"/>
      <w:jc w:val="left"/>
      <w:outlineLvl w:val="3"/>
    </w:pPr>
    <w:rPr>
      <w:rFonts w:asciiTheme="majorHAnsi" w:eastAsiaTheme="majorEastAsia" w:hAnsiTheme="majorHAnsi" w:cstheme="majorBidi" w:ascii="Times New Roman" w:hAnsi="Times New Roman"/>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120" w:after="120"/>
      <w:jc w:val="left"/>
      <w:outlineLvl w:val="4"/>
    </w:pPr>
    <w:rPr>
      <w:rFonts w:asciiTheme="majorHAnsi" w:eastAsiaTheme="majorEastAsia" w:hAnsiTheme="majorHAnsi" w:cstheme="majorBidi" w:ascii="Times New Roman" w:hAnsi="Times New Roman"/>
      <w:b/>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120" w:after="120"/>
      <w:jc w:val="left"/>
      <w:outlineLvl w:val="5"/>
    </w:pPr>
    <w:rPr>
      <w:rFonts w:asciiTheme="majorHAnsi" w:eastAsiaTheme="majorEastAsia" w:hAnsiTheme="majorHAnsi" w:cstheme="majorBidi" w:ascii="Times New Roman" w:hAnsi="Times New Roman"/>
      <w:b/>
      <w:i/>
      <w:iCs/>
      <w:color w:val="243F60" w:themeColor="accent1" w:themeShade="7F"/>
      <w:sz w:val="24"/>
    </w:rPr>
  </w:style>
  <w:style w:type="paragraph" w:styleId="Heading7">
    <w:name w:val="heading 7"/>
    <w:basedOn w:val="Normal"/>
    <w:next w:val="Normal"/>
    <w:link w:val="Heading7Char"/>
    <w:uiPriority w:val="9"/>
    <w:semiHidden/>
    <w:unhideWhenUsed/>
    <w:qFormat/>
    <w:rsid w:val="00FC693F"/>
    <w:pPr>
      <w:keepNext/>
      <w:keepLines/>
      <w:spacing w:before="120" w:after="120"/>
      <w:jc w:val="left"/>
      <w:outlineLvl w:val="6"/>
    </w:pPr>
    <w:rPr>
      <w:rFonts w:asciiTheme="majorHAnsi" w:eastAsiaTheme="majorEastAsia" w:hAnsiTheme="majorHAnsi" w:cstheme="majorBidi" w:ascii="Times New Roman" w:hAnsi="Times New Roman"/>
      <w:b/>
      <w:i/>
      <w:iCs/>
      <w:color w:val="404040" w:themeColor="text1" w:themeTint="BF"/>
      <w:sz w:val="24"/>
    </w:rPr>
  </w:style>
  <w:style w:type="paragraph" w:styleId="Heading8">
    <w:name w:val="heading 8"/>
    <w:basedOn w:val="Normal"/>
    <w:next w:val="Normal"/>
    <w:link w:val="Heading8Char"/>
    <w:uiPriority w:val="9"/>
    <w:semiHidden/>
    <w:unhideWhenUsed/>
    <w:qFormat/>
    <w:rsid w:val="00FC693F"/>
    <w:pPr>
      <w:keepNext/>
      <w:keepLines/>
      <w:spacing w:before="120" w:after="120"/>
      <w:jc w:val="left"/>
      <w:outlineLvl w:val="7"/>
    </w:pPr>
    <w:rPr>
      <w:rFonts w:asciiTheme="majorHAnsi" w:eastAsiaTheme="majorEastAsia" w:hAnsiTheme="majorHAnsi" w:cstheme="majorBidi" w:ascii="Times New Roman" w:hAnsi="Times New Roman"/>
      <w:b/>
      <w:color w:val="4F81BD" w:themeColor="accent1"/>
      <w:sz w:val="24"/>
      <w:szCs w:val="20"/>
    </w:rPr>
  </w:style>
  <w:style w:type="paragraph" w:styleId="Heading9">
    <w:name w:val="heading 9"/>
    <w:basedOn w:val="Normal"/>
    <w:next w:val="Normal"/>
    <w:link w:val="Heading9Char"/>
    <w:uiPriority w:val="9"/>
    <w:semiHidden/>
    <w:unhideWhenUsed/>
    <w:qFormat/>
    <w:rsid w:val="00FC693F"/>
    <w:pPr>
      <w:keepNext/>
      <w:keepLines/>
      <w:spacing w:before="120" w:after="120"/>
      <w:jc w:val="left"/>
      <w:outlineLvl w:val="8"/>
    </w:pPr>
    <w:rPr>
      <w:rFonts w:asciiTheme="majorHAnsi" w:eastAsiaTheme="majorEastAsia" w:hAnsiTheme="majorHAnsi" w:cstheme="majorBidi" w:ascii="Times New Roman" w:hAnsi="Times New Roman"/>
      <w:b/>
      <w:i/>
      <w:iCs/>
      <w:color w:val="404040" w:themeColor="text1" w:themeTint="BF"/>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80/17449057.2016.1211515" TargetMode="External"/><Relationship Id="rId10" Type="http://schemas.openxmlformats.org/officeDocument/2006/relationships/hyperlink" Target="https://www.researchgate.net/publication/330760964_Research_Methods_for_Business_Students_Chapter_4_Understanding_research_philosophy_and_approaches_to_theory_development" TargetMode="External"/><Relationship Id="rId11" Type="http://schemas.openxmlformats.org/officeDocument/2006/relationships/hyperlink" Target="https://www.researchgate.net/publication/325846147_Research_Design_Qualitative_Quantitative_and_Mixed_Methods_Approaches" TargetMode="External"/><Relationship Id="rId12" Type="http://schemas.openxmlformats.org/officeDocument/2006/relationships/hyperlink" Target="https://www.researchgate.net/publication/358490595_The_Role_of_Technology_in_Modern_Warfare_A_Comparative_Analysis" TargetMode="External"/><Relationship Id="rId13" Type="http://schemas.openxmlformats.org/officeDocument/2006/relationships/hyperlink" Target="https://doi.org/10.4135/9781526416165" TargetMode="External"/><Relationship Id="rId14" Type="http://schemas.openxmlformats.org/officeDocument/2006/relationships/hyperlink" Target="https://doi.org/10.4135/9781483381461" TargetMode="External"/><Relationship Id="rId15" Type="http://schemas.openxmlformats.org/officeDocument/2006/relationships/hyperlink" Target="https://doi.org/10.4135/9781529716567" TargetMode="External"/><Relationship Id="rId16" Type="http://schemas.openxmlformats.org/officeDocument/2006/relationships/hyperlink" Target="URL" TargetMode="External"/><Relationship Id="rId17" Type="http://schemas.openxmlformats.org/officeDocument/2006/relationships/hyperlink" Target="https://research-methodology.net/sampling-in-primary-data-collection/purposive-sampling/" TargetMode="External"/><Relationship Id="rId18" Type="http://schemas.openxmlformats.org/officeDocument/2006/relationships/hyperlink" Target="https://doi.org/10.1111/1467-9299.00177" TargetMode="External"/><Relationship Id="rId19" Type="http://schemas.openxmlformats.org/officeDocument/2006/relationships/hyperlink" Target="https://www.researchgate.net/publication/353436852_Sampling_in_Interview-Based_Qualitative_Research" TargetMode="External"/><Relationship Id="rId20" Type="http://schemas.openxmlformats.org/officeDocument/2006/relationships/hyperlink" Target="https://home.kku.ac.th/sompong/guest_speaker/KrejcieandMorgan_article.pdf" TargetMode="External"/><Relationship Id="rId21" Type="http://schemas.openxmlformats.org/officeDocument/2006/relationships/hyperlink" Target="https://www.researchgate.net/publication/333709426_Basic_Sampling_Techniques" TargetMode="External"/><Relationship Id="rId22" Type="http://schemas.openxmlformats.org/officeDocument/2006/relationships/hyperlink" Target="https://www.scirp.org/reference/referencespapers?referenceid=1996985" TargetMode="External"/><Relationship Id="rId23" Type="http://schemas.openxmlformats.org/officeDocument/2006/relationships/hyperlink" Target="https://www.utstat.toronto.edu/~brunner/oldclass/378f16/readings/CohenPower.pdf" TargetMode="External"/><Relationship Id="rId24" Type="http://schemas.openxmlformats.org/officeDocument/2006/relationships/hyperlink" Target="https://us.sagepub.com/en-us/nam/research-design/book255675" TargetMode="External"/><Relationship Id="rId25" Type="http://schemas.openxmlformats.org/officeDocument/2006/relationships/hyperlink" Target="https://www.newagepublishers.com/samplechapter/001122.pdf" TargetMode="External"/><Relationship Id="rId26" Type="http://schemas.openxmlformats.org/officeDocument/2006/relationships/hyperlink" Target="https://www.wiley.com/en-us/Research+Methods+For+Business%3A+A+Skill+Building+Approach%2C+7th+Edition-p-9781119266846" TargetMode="External"/><Relationship Id="rId27" Type="http://schemas.openxmlformats.org/officeDocument/2006/relationships/hyperlink" Target="https://legacy.voteview.com/pdf/Likert_1932.pdf" TargetMode="External"/><Relationship Id="rId28" Type="http://schemas.openxmlformats.org/officeDocument/2006/relationships/hyperlink" Target="https://www.researchgate.net/publication/336137394" TargetMode="External"/><Relationship Id="rId29" Type="http://schemas.openxmlformats.org/officeDocument/2006/relationships/hyperlink" Target="https://www.researchgate.net/publication/336137395" TargetMode="External"/><Relationship Id="rId30" Type="http://schemas.openxmlformats.org/officeDocument/2006/relationships/hyperlink" Target="https://www.researchgate.net/publication/336137396" TargetMode="External"/><Relationship Id="rId31" Type="http://schemas.openxmlformats.org/officeDocument/2006/relationships/hyperlink" Target="https://www.researchgate.net/publication/336137397" TargetMode="External"/><Relationship Id="rId32" Type="http://schemas.openxmlformats.org/officeDocument/2006/relationships/hyperlink" Target="https://www.researchgate.net/publication/336137398" TargetMode="External"/><Relationship Id="rId33" Type="http://schemas.openxmlformats.org/officeDocument/2006/relationships/hyperlink" Target="https://doi.org/10.4135/9781544307725" TargetMode="External"/><Relationship Id="rId34" Type="http://schemas.openxmlformats.org/officeDocument/2006/relationships/hyperlink" Target="https://doi.org/10.4324/9781003117452" TargetMode="External"/><Relationship Id="rId35" Type="http://schemas.openxmlformats.org/officeDocument/2006/relationships/hyperlink" Target="https://doi.org/10.4135/9781526419521" TargetMode="External"/><Relationship Id="rId36" Type="http://schemas.openxmlformats.org/officeDocument/2006/relationships/hyperlink" Target="https://doi.org/10.4324/9780203771587" TargetMode="External"/><Relationship Id="rId37" Type="http://schemas.openxmlformats.org/officeDocument/2006/relationships/hyperlink" Target="https://doi.org/10.4324/97804294233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