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4a583b551c4459d8de70e857cff2e69e7b9ef0b"/>
    <w:p>
      <w:pPr>
        <w:pStyle w:val="Heading1"/>
      </w:pPr>
      <w:r>
        <w:t xml:space="preserve">Fallecimientos y Hospitalizacion por Covid-19 siguen aumentando fuertemente</w:t>
      </w:r>
    </w:p>
    <w:p>
      <w:pPr>
        <w:pStyle w:val="FirstParagraph"/>
      </w:pPr>
      <w:r>
        <w:t xml:space="preserve">En este informe presentamos el Analisis Semanal Nº66 de Covid-19 elaborado por el Grupo Epidemiológico Matemático para la Vigilancia de Epidemias y Pandemia (GEMVEP) de la Universidad de Santiago. Los datos usados en este informe consideran los casos de Covid-19 informados entre el 11 de Febrero y el 17 de Febrero .Los datos provienen de las siguientes fuentes de información:</w:t>
      </w:r>
    </w:p>
    <w:p>
      <w:pPr>
        <w:numPr>
          <w:ilvl w:val="0"/>
          <w:numId w:val="1001"/>
        </w:numPr>
      </w:pPr>
      <w:hyperlink r:id="rId20">
        <w:r>
          <w:rPr>
            <w:rStyle w:val="Hyperlink"/>
          </w:rPr>
          <w:t xml:space="preserve">Reporte Covid-19 del dia Jueves 17 de Febrero del Ministerio de Salud</w:t>
        </w:r>
      </w:hyperlink>
    </w:p>
    <w:p>
      <w:pPr>
        <w:numPr>
          <w:ilvl w:val="0"/>
          <w:numId w:val="1001"/>
        </w:numPr>
      </w:pPr>
      <w:hyperlink r:id="rId21">
        <w:r>
          <w:rPr>
            <w:rStyle w:val="Hyperlink"/>
          </w:rPr>
          <w:t xml:space="preserve">Informe Epidemiológico con datos hasta el Lunes 14 de Febrero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nacional-semanal"/>
    <w:p>
      <w:pPr>
        <w:pStyle w:val="Heading2"/>
      </w:pPr>
      <w:r>
        <w:t xml:space="preserve">Balance Nacional Semanal</w:t>
      </w:r>
    </w:p>
    <w:p>
      <w:pPr>
        <w:pStyle w:val="FirstParagraph"/>
      </w:pPr>
      <w:r>
        <w:t xml:space="preserve">En la ultima semana se han confirmado 227006 casos de Covid-19 en Chile. Una tasa de incidencia de 166.66 casos promedio por día cada 100.000 habitantes.Este es la menor incidencia en Chile desde el 07 de Febrero. Esto es una disminución de un -3.04% de los casos respecto de la semana anterior,mientras que la variación de casos a 14 días es de un 14.76%.Nuestra estimación del R Efectivo a nivel nacional es de 1. La incidencia actual esta 16.7 veces sobre un nivel crítico de contagios. Además, en último informe epidemiológico se informaron 144.399 casos activos(confirmados y probables) de Covid-19 en el pais(tasa de 742,1 casos c/100.000h). Nosotros estimamos 274.450 casos activos(1410,5 casos c/100.000h). El subreporte de casos activos estimado es de un 47.4%.Finalmente, de acuerdo al reporte del Departamento de Estadísticas e Información de Salud (DEIS)</w:t>
      </w:r>
      <w:r>
        <w:t xml:space="preserve"> </w:t>
      </w:r>
      <w:r>
        <w:t xml:space="preserve">del Ministerio de Salud, 51.597 personas han fallecido en Chile a causa del Covid-19 (Información hasta el 10 de Febrero).Una tasa de 265.16 personas c/100.000h. 40.464 con confirmación de PCR y 11.133 sin confirmación. Hasta la fecha 1403 personas han fallecido por Covid-19 en 2022. En los últimos 7 días se registraron 585 fallecidos nuevos (83.6 por día).</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2 entre los países con la mayor tasa de incidencia. En America, Chile está en el lugar 2 entre 47 países.A nivel mundial Chile está en el lugar 29 entre los 228 países analizados.</w:t>
      </w:r>
    </w:p>
    <w:p>
      <w:pPr>
        <w:pStyle w:val="BodyText"/>
      </w:pPr>
      <w:r>
        <w:t xml:space="preserve">Si analizamos las cifras de vacunación, observamos en Chile que el 89.03 % de la población total tiene su esquema de vacunación completo. En la comparación con los países de Sudamerica, Chile se encuentra en el lugar 1 entre los países con la mayor cobertura de vacunación. En America, Chile está en el lugar 1 entre 47 países.A nivel mundial Chile está en el lugar 4 entre los 229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Aysen 291.58 casos cada 100.000 habitantes</w:t>
      </w:r>
      <w:r>
        <w:br/>
      </w:r>
      <w:r>
        <w:t xml:space="preserve">Los Rios 263.51</w:t>
      </w:r>
      <w:r>
        <w:br/>
      </w:r>
      <w:r>
        <w:t xml:space="preserve">Nuble 251.7</w:t>
      </w:r>
      <w:r>
        <w:br/>
      </w:r>
      <w:r>
        <w:t xml:space="preserve">Araucania 245.55</w:t>
      </w:r>
      <w:r>
        <w:br/>
      </w:r>
      <w:r>
        <w:t xml:space="preserve">Los Lagos 241.04</w:t>
      </w:r>
    </w:p>
    <w:p>
      <w:pPr>
        <w:pStyle w:val="BodyText"/>
      </w:pPr>
      <w:r>
        <w:t xml:space="preserve">Las regiones con las menores tasas de incidencia promedio en la ultima semana son:</w:t>
      </w:r>
    </w:p>
    <w:p>
      <w:pPr>
        <w:pStyle w:val="BodyText"/>
      </w:pPr>
      <w:r>
        <w:t xml:space="preserve">Arica 119.45 casos cada 100.000 habitantes</w:t>
      </w:r>
      <w:r>
        <w:br/>
      </w:r>
      <w:r>
        <w:t xml:space="preserve">Antofagasta 104.13</w:t>
      </w:r>
      <w:r>
        <w:br/>
      </w:r>
      <w:r>
        <w:t xml:space="preserve">Tarapaca 56.5</w:t>
      </w:r>
    </w:p>
    <w:p>
      <w:pPr>
        <w:pStyle w:val="BodyText"/>
      </w:pPr>
      <w:r>
        <w:t xml:space="preserve">Actualmente, 16 de 16 regiones del país tienen un nivel crítico de contagios.</w:t>
      </w:r>
    </w:p>
    <w:p>
      <w:pPr>
        <w:pStyle w:val="BodyText"/>
      </w:pPr>
      <w:r>
        <w:t xml:space="preserve">Además, 6 de 16 regiones del país han aumentado casos de Covid-19 en los últimos 7 días. Las regiones con los mayores aumentos de casos de Covid-19 en la ultima semana son:</w:t>
      </w:r>
    </w:p>
    <w:p>
      <w:pPr>
        <w:pStyle w:val="BodyText"/>
      </w:pPr>
      <w:r>
        <w:t xml:space="preserve">Maule + 25.4 %</w:t>
      </w:r>
      <w:r>
        <w:br/>
      </w:r>
      <w:r>
        <w:t xml:space="preserve">Los Lagos + 24.02 %</w:t>
      </w:r>
      <w:r>
        <w:br/>
      </w:r>
      <w:r>
        <w:t xml:space="preserve">Ohiggins + 20.22 %</w:t>
      </w:r>
      <w:r>
        <w:br/>
      </w:r>
      <w:r>
        <w:t xml:space="preserve">Bio-Bio + 17.34 %</w:t>
      </w:r>
      <w:r>
        <w:br/>
      </w:r>
      <w:r>
        <w:t xml:space="preserve">Araucania + 14.25 %</w:t>
      </w:r>
      <w:r>
        <w:br/>
      </w:r>
      <w:r>
        <w:t xml:space="preserve">Mientras que las regiones con las mayores disminuciones de casos de Covid-19 en la ultima semana son:</w:t>
      </w:r>
    </w:p>
    <w:p>
      <w:pPr>
        <w:pStyle w:val="BodyText"/>
      </w:pPr>
      <w:r>
        <w:t xml:space="preserve">Arica -36.39 %</w:t>
      </w:r>
      <w:r>
        <w:br/>
      </w:r>
      <w:r>
        <w:t xml:space="preserve">Antofagasta -37.32 %</w:t>
      </w:r>
      <w:r>
        <w:br/>
      </w:r>
      <w:r>
        <w:t xml:space="preserve">Tarapaca -40.6 %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Tarapaca, Antofagasta, Atacama, Coquimbo, Valparaiso, Metropolitana, Ohiggins, Maule, Nuble, Bio-Bio, Araucania, Los Rios, Los Lagos, Aysen, y Magallanes .Además, la región de Nuble tiene la mayor tasa de Positividad con ( 36.4 %) y la region de Maule tiene el mayor R efectivo con ( 1.3 )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17 de Febrero fue 958( 238 mas que semana previa).No se informaban tantos pacientes Covid-19 en UCI desde el 09 de Julio.Además, este día se informaron 792 pacientes Covid-19 en ventilación mecánica invasiva (VMI)( 217 mas que semana previa).</w:t>
      </w:r>
      <w:r>
        <w:br/>
      </w:r>
      <w:r>
        <w:t xml:space="preserve">La ocupación de camas UCI en el país es de un 91.66 % .Las regiones con mayor porcentaje de ocupación UCI son:</w:t>
      </w:r>
    </w:p>
    <w:p>
      <w:pPr>
        <w:pStyle w:val="BodyText"/>
      </w:pPr>
      <w:r>
        <w:t xml:space="preserve">Los Lagos 100 %</w:t>
      </w:r>
      <w:r>
        <w:br/>
      </w:r>
      <w:r>
        <w:t xml:space="preserve">Araucania 98.77 %</w:t>
      </w:r>
      <w:r>
        <w:br/>
      </w:r>
      <w:r>
        <w:t xml:space="preserve">Valparaiso 94.68 %</w:t>
      </w:r>
      <w:r>
        <w:br/>
      </w:r>
      <w:r>
        <w:t xml:space="preserve">Antofagasta 94.25 %</w:t>
      </w:r>
      <w:r>
        <w:br/>
      </w:r>
      <w:r>
        <w:t xml:space="preserve">Metropolitana 92.92 %</w:t>
      </w:r>
      <w:r>
        <w:br/>
      </w:r>
      <w:r>
        <w:t xml:space="preserve">Este dia, 11 de las 16 regiones del país tuvieron una ocupación de camas UCI superior al 80%.Las regiones que tuvieron menor ocupación UCI son:</w:t>
      </w:r>
    </w:p>
    <w:p>
      <w:pPr>
        <w:pStyle w:val="BodyText"/>
      </w:pPr>
      <w:r>
        <w:t xml:space="preserve">Los Rios 75 %</w:t>
      </w:r>
      <w:r>
        <w:br/>
      </w:r>
      <w:r>
        <w:t xml:space="preserve">Atacama 66.67 %</w:t>
      </w:r>
      <w:r>
        <w:br/>
      </w:r>
      <w:r>
        <w:t xml:space="preserve">Aysen 50 %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Los Lagos 0 camas UCI disponibles</w:t>
      </w:r>
      <w:r>
        <w:br/>
      </w:r>
      <w:r>
        <w:t xml:space="preserve">Araucania 1</w:t>
      </w:r>
      <w:r>
        <w:br/>
      </w:r>
      <w:r>
        <w:t xml:space="preserve">Arica 4</w:t>
      </w:r>
      <w:r>
        <w:br/>
      </w:r>
      <w:r>
        <w:t xml:space="preserve">Coquimbo 4</w:t>
      </w:r>
      <w:r>
        <w:br/>
      </w:r>
      <w:r>
        <w:t xml:space="preserve">Tarapaca 5</w:t>
      </w:r>
      <w:r>
        <w:br/>
      </w:r>
      <w:r>
        <w:t xml:space="preserve">Las regiones con mayor proporción de camas UCI usadas sobre el basal de camas UCI disponibles en 2019 son:</w:t>
      </w:r>
    </w:p>
    <w:p>
      <w:pPr>
        <w:pStyle w:val="BodyText"/>
      </w:pPr>
      <w:r>
        <w:t xml:space="preserve">Tarapaca 308.33 %</w:t>
      </w:r>
      <w:r>
        <w:br/>
      </w:r>
      <w:r>
        <w:t xml:space="preserve">Nuble 237.5 %</w:t>
      </w:r>
      <w:r>
        <w:br/>
      </w:r>
      <w:r>
        <w:t xml:space="preserve">Arica 222.22 %</w:t>
      </w:r>
      <w:r>
        <w:br/>
      </w:r>
      <w:r>
        <w:t xml:space="preserve">Los Lagos 208.16 %</w:t>
      </w:r>
      <w:r>
        <w:br/>
      </w:r>
      <w:r>
        <w:t xml:space="preserve">Bio-Bio 200 %</w:t>
      </w:r>
      <w:r>
        <w:br/>
      </w:r>
      <w:r>
        <w:t xml:space="preserve">Este dia, 15 de las 16 regiones del país tienen una ocupación sobre el 100% de camas bases del año 2019. En Chile, la ocupación sobre el basal de camas del año 2019 es de un 157.7 %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59462 casos en los últimos 7 días. Esto corresponde a un 24.11% del total de la población contagiada. Además, el grupo etario con el mayor aumento de casos en la última semana es el tramo mayores de 70 años con un aumento del 14.16% respecto a la semana previa.</w:t>
      </w:r>
    </w:p>
    <w:p>
      <w:pPr>
        <w:pStyle w:val="BodyText"/>
      </w:pPr>
      <w:r>
        <w:t xml:space="preserve">Además, respecto a las hospitalizaciones, el grupo etario con mayor cantidad de pacientes Covid-19 en UCI son las personas mayores de 70 años que cuenta con 366 pacientes Covid-19 en UCI. Esto corresponde a un 41.22% del total. Además, el grupo etario con mayor aumento de pacientes Covid-19 en UCI es el grupo de personas entre 60 y 69 años con un aumento del 43.55% respecto a la semana previa</w:t>
      </w:r>
    </w:p>
    <w:bookmarkEnd w:id="30"/>
    <w:bookmarkStart w:id="31" w:name="situación-comunal"/>
    <w:p>
      <w:pPr>
        <w:pStyle w:val="Heading2"/>
      </w:pPr>
      <w:r>
        <w:t xml:space="preserve">Situación Comunal</w:t>
      </w:r>
    </w:p>
    <w:p>
      <w:pPr>
        <w:pStyle w:val="FirstParagraph"/>
      </w:pPr>
      <w:r>
        <w:t xml:space="preserve">En el analisis comunal notamos que 342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Valdivia 362.61 casos cada 100.000 habitantes</w:t>
      </w:r>
      <w:r>
        <w:br/>
      </w:r>
      <w:r>
        <w:t xml:space="preserve">Tome 353.44</w:t>
      </w:r>
      <w:r>
        <w:br/>
      </w:r>
      <w:r>
        <w:t xml:space="preserve">Chillan 342.86</w:t>
      </w:r>
      <w:r>
        <w:br/>
      </w:r>
      <w:r>
        <w:t xml:space="preserve">Villarrica 335.73</w:t>
      </w:r>
      <w:r>
        <w:br/>
      </w:r>
      <w:r>
        <w:t xml:space="preserve">Aysen 325.12</w:t>
      </w:r>
      <w:r>
        <w:br/>
      </w:r>
      <w:r>
        <w:t xml:space="preserve">Coyhaique 316.71</w:t>
      </w:r>
      <w:r>
        <w:br/>
      </w:r>
      <w:r>
        <w:t xml:space="preserve">Castro 314.48</w:t>
      </w:r>
      <w:r>
        <w:br/>
      </w:r>
      <w:r>
        <w:t xml:space="preserve">Pucon 304.11</w:t>
      </w:r>
      <w:r>
        <w:br/>
      </w:r>
      <w:r>
        <w:t xml:space="preserve">Angol 292.04</w:t>
      </w:r>
      <w:r>
        <w:br/>
      </w:r>
      <w:r>
        <w:t xml:space="preserve">Talca 278.69</w:t>
      </w:r>
    </w:p>
    <w:p>
      <w:pPr>
        <w:pStyle w:val="BodyText"/>
      </w:pPr>
      <w:r>
        <w:t xml:space="preserve">Las comunas de más de 25.000 habitantes con mayor aumento de casos en la ultima semana son:</w:t>
      </w:r>
    </w:p>
    <w:p>
      <w:pPr>
        <w:pStyle w:val="BodyText"/>
      </w:pPr>
      <w:r>
        <w:t xml:space="preserve">Coihueco + 121.64 %</w:t>
      </w:r>
      <w:r>
        <w:br/>
      </w:r>
      <w:r>
        <w:t xml:space="preserve">Parral + 99.73 %</w:t>
      </w:r>
      <w:r>
        <w:br/>
      </w:r>
      <w:r>
        <w:t xml:space="preserve">Panguipulli + 69.7 %</w:t>
      </w:r>
      <w:r>
        <w:br/>
      </w:r>
      <w:r>
        <w:t xml:space="preserve">Carahue + 69.58 %</w:t>
      </w:r>
      <w:r>
        <w:br/>
      </w:r>
      <w:r>
        <w:t xml:space="preserve">Requinoa + 68.22 %</w:t>
      </w:r>
      <w:r>
        <w:br/>
      </w:r>
      <w:r>
        <w:t xml:space="preserve">San Carlos + 67.24 %</w:t>
      </w:r>
      <w:r>
        <w:br/>
      </w:r>
      <w:r>
        <w:t xml:space="preserve">Victoria + 63.33 %</w:t>
      </w:r>
      <w:r>
        <w:br/>
      </w:r>
      <w:r>
        <w:t xml:space="preserve">La Union + 63.33 %</w:t>
      </w:r>
      <w:r>
        <w:br/>
      </w:r>
      <w:r>
        <w:t xml:space="preserve">Freire + 63.21 %</w:t>
      </w:r>
      <w:r>
        <w:br/>
      </w:r>
      <w:r>
        <w:t xml:space="preserve">Nacimiento + 60.78 %</w:t>
      </w:r>
    </w:p>
    <w:bookmarkEnd w:id="31"/>
    <w:bookmarkEnd w:id="32"/>
    <w:bookmarkStart w:id="33"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7.02.2022_Reporte_Covid19.pdf" TargetMode="External" /><Relationship Type="http://schemas.openxmlformats.org/officeDocument/2006/relationships/hyperlink" Id="rId22" Target="https://www.minsal.cl/wp-content/uploads/2022/01/Informe-TTA-16-al-22-de-enero.pdf" TargetMode="External" /><Relationship Type="http://schemas.openxmlformats.org/officeDocument/2006/relationships/hyperlink" Id="rId21" Target="https://www.minsal.cl/wp-content/uploads/2022/03/Informe-Epidemiolo%CC%81gico-173.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7.02.2022_Reporte_Covid19.pdf" TargetMode="External" /><Relationship Type="http://schemas.openxmlformats.org/officeDocument/2006/relationships/hyperlink" Id="rId22" Target="https://www.minsal.cl/wp-content/uploads/2022/01/Informe-TTA-16-al-22-de-enero.pdf" TargetMode="External" /><Relationship Type="http://schemas.openxmlformats.org/officeDocument/2006/relationships/hyperlink" Id="rId21" Target="https://www.minsal.cl/wp-content/uploads/2022/03/Informe-Epidemiolo%CC%81gico-17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2022-02-17T20:19:57Z</dcterms:created>
  <dcterms:modified xsi:type="dcterms:W3CDTF">2022-02-17T20:19:57Z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