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ca40b2e6d8a68f5a22ec1837d39d82e7089b090"/>
    <w:p>
      <w:pPr>
        <w:pStyle w:val="Heading1"/>
      </w:pPr>
      <w:r>
        <w:t xml:space="preserve">Sin regiones en alerta: es momento de retomar la trazabildad</w:t>
      </w:r>
    </w:p>
    <w:p>
      <w:pPr>
        <w:pStyle w:val="FirstParagraph"/>
      </w:pPr>
      <w:r>
        <w:t xml:space="preserve">En este informe presentamos el Analisis Semanal Nº73 de Covid-19 elaborado por el Grupo Epidemiológico Matemático para la Vigilancia de Epidemias y Pandemia (GEMVEP) de la Universidad de Santiago. Los datos usados en este informe consideran los casos de Covid-19 informados entre el 01 de Abril y el 07 de Abril .Los datos provienen de las siguientes fuentes de información:</w:t>
      </w:r>
    </w:p>
    <w:p>
      <w:pPr>
        <w:numPr>
          <w:ilvl w:val="0"/>
          <w:numId w:val="1001"/>
        </w:numPr>
      </w:pPr>
      <w:hyperlink r:id="rId20">
        <w:r>
          <w:rPr>
            <w:rStyle w:val="Hyperlink"/>
          </w:rPr>
          <w:t xml:space="preserve">Reporte Covid-19 del dia Jueves 07 de Abril del Ministerio de Salud</w:t>
        </w:r>
      </w:hyperlink>
    </w:p>
    <w:p>
      <w:pPr>
        <w:numPr>
          <w:ilvl w:val="0"/>
          <w:numId w:val="1001"/>
        </w:numPr>
      </w:pPr>
      <w:hyperlink r:id="rId21">
        <w:r>
          <w:rPr>
            <w:rStyle w:val="Hyperlink"/>
          </w:rPr>
          <w:t xml:space="preserve">Informe Epidemiológico con datos hasta el Lunes 04 de Abril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27299 casos de Covid-19 en Chile. Una tasa de incidencia de 20.04 casos promedio por día cada 100.000 habitantes.Esta es la menor incidencia en Chile desde el 11 de Enero. Los casos disminuyeron en un -33.95% respecto de la semana anterior,mientras que la variación de casos a 14 días es de un -59.49%.Nuestra estimación del R Efectivo a nivel nacional es de 0.62. La incidencia actual esta 2 veces sobre un nivel crítico de contagios. Finalmente, de acuerdo al reporte del Departamento de Estadísticas e Información de Salud (DEIS)</w:t>
      </w:r>
      <w:r>
        <w:t xml:space="preserve"> </w:t>
      </w:r>
      <w:r>
        <w:t xml:space="preserve">del Ministerio de Salud, 56.689 personas han fallecido en Chile a causa del Covid-19 (Información hasta el 30 de Marzo).Una tasa de 291.3 personas c/100.000hab. 45.302 con confirmación de PCR. Hasta la fecha 6.495 personas han fallecido por Covid-19 en 2022 (11.46% del total). En los últimos 7 días se registraron 391 fallecidos nuevos (55.9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1 entre 24 países.A nivel mundial Chile está en el lugar 34 entre los 169 países analizados.</w:t>
      </w:r>
    </w:p>
    <w:p>
      <w:pPr>
        <w:pStyle w:val="BodyText"/>
      </w:pPr>
      <w:r>
        <w:t xml:space="preserve">Si analizamos las cifras de vacunación, observamos en Chile que el 90.59 %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1 entre los 169 países de más de un millon de habitantes analizados.</w:t>
      </w:r>
    </w:p>
    <w:p>
      <w:pPr>
        <w:pStyle w:val="BodyText"/>
      </w:pPr>
      <w:r>
        <w:t xml:space="preserve">Además, respecto a las dosis de refuerzo, en Chile el 84.76 % de la población total ha sido vacunada con esta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Bio-Bio 29.08 casos cada 100.000 habitantes</w:t>
      </w:r>
      <w:r>
        <w:br/>
      </w:r>
      <w:r>
        <w:t xml:space="preserve">Nuble 27.37</w:t>
      </w:r>
      <w:r>
        <w:br/>
      </w:r>
      <w:r>
        <w:t xml:space="preserve">Maule 27.16</w:t>
      </w:r>
      <w:r>
        <w:br/>
      </w:r>
      <w:r>
        <w:t xml:space="preserve">Magallanes 25.87</w:t>
      </w:r>
      <w:r>
        <w:br/>
      </w:r>
      <w:r>
        <w:t xml:space="preserve">Aysen 22.1</w:t>
      </w:r>
    </w:p>
    <w:p>
      <w:pPr>
        <w:pStyle w:val="BodyText"/>
      </w:pPr>
      <w:r>
        <w:t xml:space="preserve">Las regiones con las menores tasas de incidencia promedio en la ultima semana son:</w:t>
      </w:r>
    </w:p>
    <w:p>
      <w:pPr>
        <w:pStyle w:val="BodyText"/>
      </w:pPr>
      <w:r>
        <w:t xml:space="preserve">Antofagasta 14.16 casos cada 100.000 habitantes</w:t>
      </w:r>
      <w:r>
        <w:br/>
      </w:r>
      <w:r>
        <w:t xml:space="preserve">Arica 14</w:t>
      </w:r>
      <w:r>
        <w:br/>
      </w:r>
      <w:r>
        <w:t xml:space="preserve">Tarapaca 8.14</w:t>
      </w:r>
    </w:p>
    <w:p>
      <w:pPr>
        <w:pStyle w:val="BodyText"/>
      </w:pPr>
      <w:r>
        <w:t xml:space="preserve">Actualmente, 15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Nuble -40.13 %</w:t>
      </w:r>
      <w:r>
        <w:br/>
      </w:r>
      <w:r>
        <w:t xml:space="preserve">Los Rios -40.94 %</w:t>
      </w:r>
      <w:r>
        <w:br/>
      </w:r>
      <w:r>
        <w:t xml:space="preserve">Araucania -42.55 %</w:t>
      </w:r>
      <w:r>
        <w:br/>
      </w:r>
      <w:r>
        <w:t xml:space="preserve">Los Lagos -44.01 %</w:t>
      </w:r>
      <w:r>
        <w:br/>
      </w:r>
      <w:r>
        <w:t xml:space="preserve">Atacama -44.28 %</w:t>
      </w:r>
      <w:r>
        <w:br/>
      </w:r>
      <w:r>
        <w:t xml:space="preserve">Aysen -49.54 %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 region de .Además, la región de Ohiggins tiene la mayor tasa de Positividad con ( 10 %) y la region de Metropolitana tiene el mayor R efectivo con ( 0.7 )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07 de Abril fue 479( 110 menos que semana previa).Esta es la menor cantidad de pacientes Covid-19 en UCI informados desde el 01 de Febrero de 2022.Además, este día se informaron 362 pacientes Covid-19 en ventilación mecánica invasiva (VMI)( 76 menos que semana previa).</w:t>
      </w:r>
      <w:r>
        <w:br/>
      </w:r>
      <w:r>
        <w:t xml:space="preserve">La ocupación de camas UCI en el país es de un 85.82 %. Esta es la menor tasa de ocupación UCI en Chile desde el 04 de Abril de 2022 .Las regiones con mayor porcentaje de ocupación UCI son:</w:t>
      </w:r>
    </w:p>
    <w:p>
      <w:pPr>
        <w:pStyle w:val="BodyText"/>
      </w:pPr>
      <w:r>
        <w:t xml:space="preserve">Metropolitana 90.02 %</w:t>
      </w:r>
      <w:r>
        <w:br/>
      </w:r>
      <w:r>
        <w:t xml:space="preserve">Valparaiso 89.36 %</w:t>
      </w:r>
      <w:r>
        <w:br/>
      </w:r>
      <w:r>
        <w:t xml:space="preserve">Los Lagos 88.66 %</w:t>
      </w:r>
      <w:r>
        <w:br/>
      </w:r>
      <w:r>
        <w:t xml:space="preserve">Antofagasta 88.24 %</w:t>
      </w:r>
      <w:r>
        <w:br/>
      </w:r>
      <w:r>
        <w:t xml:space="preserve">Bio-Bio 85.05 %</w:t>
      </w:r>
      <w:r>
        <w:br/>
      </w:r>
      <w:r>
        <w:t xml:space="preserve">Este dia, 7 de las 16 regiones del país tuvieron una ocupación de camas UCI superior al 80%.Las regiones que tuvieron menor ocupación UCI son:</w:t>
      </w:r>
    </w:p>
    <w:p>
      <w:pPr>
        <w:pStyle w:val="BodyText"/>
      </w:pPr>
      <w:r>
        <w:t xml:space="preserve">Aysen 60 %</w:t>
      </w:r>
      <w:r>
        <w:br/>
      </w:r>
      <w:r>
        <w:t xml:space="preserve">Nuble 55.1 %</w:t>
      </w:r>
      <w:r>
        <w:br/>
      </w:r>
      <w:r>
        <w:t xml:space="preserve">Tarapaca 53.33 %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4 camas UCI disponibles</w:t>
      </w:r>
      <w:r>
        <w:br/>
      </w:r>
      <w:r>
        <w:t xml:space="preserve">Arica 5</w:t>
      </w:r>
      <w:r>
        <w:br/>
      </w:r>
      <w:r>
        <w:t xml:space="preserve">Magallanes 5</w:t>
      </w:r>
      <w:r>
        <w:br/>
      </w:r>
      <w:r>
        <w:t xml:space="preserve">Los Rios 7</w:t>
      </w:r>
      <w:r>
        <w:br/>
      </w:r>
      <w:r>
        <w:t xml:space="preserve">Atacama 8</w:t>
      </w:r>
      <w:r>
        <w:br/>
      </w:r>
      <w:r>
        <w:t xml:space="preserve">Las regiones con mayor proporción de camas UCI usadas sobre el basal de camas UCI disponibles en 2019 son:</w:t>
      </w:r>
    </w:p>
    <w:p>
      <w:pPr>
        <w:pStyle w:val="BodyText"/>
      </w:pPr>
      <w:r>
        <w:t xml:space="preserve">Bio-Bio 187.63 %</w:t>
      </w:r>
      <w:r>
        <w:br/>
      </w:r>
      <w:r>
        <w:t xml:space="preserve">Maule 182.22 %</w:t>
      </w:r>
      <w:r>
        <w:br/>
      </w:r>
      <w:r>
        <w:t xml:space="preserve">Los Lagos 175.51 %</w:t>
      </w:r>
      <w:r>
        <w:br/>
      </w:r>
      <w:r>
        <w:t xml:space="preserve">Coquimbo 168.97 %</w:t>
      </w:r>
      <w:r>
        <w:br/>
      </w:r>
      <w:r>
        <w:t xml:space="preserve">Nuble 168.75 %</w:t>
      </w:r>
      <w:r>
        <w:br/>
      </w:r>
      <w:r>
        <w:t xml:space="preserve">Este dia, 14 de las 16 regiones del país tienen una ocupación sobre el 100% de camas bases del año 2019. En Chile, la ocupación sobre el basal de camas del año 2019 es de un 146.43 %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9659 casos en los últimos 7 días. Esto corresponde a un 27.72% del total de la población contagiada. Además, todos los grupo etarios disminuyeron sus contagios en la última semana. El grupo etario con la disminución más leve es el tramo entre 50 y 59 años con una disminución del -30.01% respecto a la semana previa.</w:t>
      </w:r>
    </w:p>
    <w:p>
      <w:pPr>
        <w:pStyle w:val="BodyText"/>
      </w:pPr>
      <w:r>
        <w:t xml:space="preserve">Además, respecto a las hospitalizaciones, el grupo etario con mayor cantidad de pacientes Covid-19 en UCI son las personas mayores de 70 años que cuenta con 208 pacientes Covid-19 en UCI. Esto corresponde a un 41.03% del total. Además, ningún grupo etario aumentó pacientes Covid-19 en UCI en la última semana. El grupo etario con la disminución más leve de pacientes Covid-19 en UCI es el tramo menores de 40 años con una disminución del -6.67% respecto a la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13 (27 de Marzo al 2 de Abril) la tasa de incidencia de Covid-19 en población con esquema incompleto de vacunación fue 182.2 casos c/100.000h,valor similar al observado en población con dosis de refuerzo (182.3 casos c/100.000h). Además, la tasa de ingresos a UCI por Covid-19 en población con esquema incompleto fue de 1.9 ingresos c/100.000h, un valor 8.5 veces mayor al observado en población con dosis de refuerzo (0.2 ingresos a UCI c/100.000h).Finalmente, la tasa de fallecimientos por Covid-19 confirmado disminuyó en todos los esquemas de vacunación. En población con esquema incompleto la tasa fue 2.3 decesos c/100.000h, mientras que en población con dosis de refuerzo fue 0.5 decesos c/100.000h</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309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Los Andes 56.02 casos cada 100.000 habitantes</w:t>
      </w:r>
      <w:r>
        <w:br/>
      </w:r>
      <w:r>
        <w:t xml:space="preserve">Concepcion 53.46</w:t>
      </w:r>
      <w:r>
        <w:br/>
      </w:r>
      <w:r>
        <w:t xml:space="preserve">Providencia 48.99</w:t>
      </w:r>
      <w:r>
        <w:br/>
      </w:r>
      <w:r>
        <w:t xml:space="preserve">Los Angeles 47.66</w:t>
      </w:r>
      <w:r>
        <w:br/>
      </w:r>
      <w:r>
        <w:t xml:space="preserve">Parral 47.14</w:t>
      </w:r>
      <w:r>
        <w:br/>
      </w:r>
      <w:r>
        <w:t xml:space="preserve">Vitacura 44.88</w:t>
      </w:r>
      <w:r>
        <w:br/>
      </w:r>
      <w:r>
        <w:t xml:space="preserve">Linares 43.53</w:t>
      </w:r>
      <w:r>
        <w:br/>
      </w:r>
      <w:r>
        <w:t xml:space="preserve">San Felipe 43.46</w:t>
      </w:r>
      <w:r>
        <w:br/>
      </w:r>
      <w:r>
        <w:t xml:space="preserve">Las Condes 42.59</w:t>
      </w:r>
      <w:r>
        <w:br/>
      </w:r>
      <w:r>
        <w:t xml:space="preserve">Nunoa 42.08</w:t>
      </w:r>
    </w:p>
    <w:p>
      <w:pPr>
        <w:pStyle w:val="BodyText"/>
      </w:pPr>
      <w:r>
        <w:t xml:space="preserve">Las comunas de más de 25.000 habitantes con mayor aumento de casos en la ultima semana son:</w:t>
      </w:r>
    </w:p>
    <w:p>
      <w:pPr>
        <w:pStyle w:val="BodyText"/>
      </w:pPr>
      <w:r>
        <w:t xml:space="preserve">Quintero + 32.56 %</w:t>
      </w:r>
      <w:r>
        <w:br/>
      </w:r>
      <w:r>
        <w:t xml:space="preserve">Coihueco + 5.17 %</w:t>
      </w:r>
      <w:r>
        <w:br/>
      </w:r>
      <w:r>
        <w:t xml:space="preserve">Vitacura + 4.47 %</w:t>
      </w:r>
      <w:r>
        <w:br/>
      </w:r>
      <w:r>
        <w:t xml:space="preserve">Nunoa + 0.55 %</w:t>
      </w:r>
      <w:r>
        <w:br/>
      </w:r>
      <w:r>
        <w:t xml:space="preserve">Llaillay + -4.17 %</w:t>
      </w:r>
      <w:r>
        <w:br/>
      </w:r>
      <w:r>
        <w:t xml:space="preserve">Las Cabras + -4.17 %</w:t>
      </w:r>
      <w:r>
        <w:br/>
      </w:r>
      <w:r>
        <w:t xml:space="preserve">Nueva Imperial + -9.09 %</w:t>
      </w:r>
      <w:r>
        <w:br/>
      </w:r>
      <w:r>
        <w:t xml:space="preserve">Providencia + -10.28 %</w:t>
      </w:r>
      <w:r>
        <w:br/>
      </w:r>
      <w:r>
        <w:t xml:space="preserve">Casablanca + -10.75 %</w:t>
      </w:r>
      <w:r>
        <w:br/>
      </w:r>
      <w:r>
        <w:t xml:space="preserve">Las Condes + -11.65 %</w:t>
      </w:r>
      <w:r>
        <w:br/>
      </w:r>
      <w:r>
        <w:t xml:space="preserve">Las comunas de más de 25.000 habitantes con mayor tasa de positividad del examen PCR en la ultima semana son:</w:t>
      </w:r>
    </w:p>
    <w:p>
      <w:pPr>
        <w:pStyle w:val="BodyText"/>
      </w:pPr>
      <w:r>
        <w:t xml:space="preserve">Cauquenes 21.9 %</w:t>
      </w:r>
      <w:r>
        <w:br/>
      </w:r>
      <w:r>
        <w:t xml:space="preserve">San Javier 19.5 %</w:t>
      </w:r>
      <w:r>
        <w:br/>
      </w:r>
      <w:r>
        <w:t xml:space="preserve">Carahue 18.5 %</w:t>
      </w:r>
      <w:r>
        <w:br/>
      </w:r>
      <w:r>
        <w:t xml:space="preserve">Canete 17.8 %</w:t>
      </w:r>
      <w:r>
        <w:br/>
      </w:r>
      <w:r>
        <w:t xml:space="preserve">Vilcun 17.5 %</w:t>
      </w:r>
      <w:r>
        <w:br/>
      </w:r>
      <w:r>
        <w:t xml:space="preserve">San Clemente 16.7 %</w:t>
      </w:r>
      <w:r>
        <w:br/>
      </w:r>
      <w:r>
        <w:t xml:space="preserve">Hualqui 16.6 %</w:t>
      </w:r>
      <w:r>
        <w:br/>
      </w:r>
      <w:r>
        <w:t xml:space="preserve">Tome 16.5 %</w:t>
      </w:r>
      <w:r>
        <w:br/>
      </w:r>
      <w:r>
        <w:t xml:space="preserve">Curanilahue 15.9 %</w:t>
      </w:r>
      <w:r>
        <w:br/>
      </w:r>
      <w:r>
        <w:t xml:space="preserve">Chiguayante 15.7 %</w:t>
      </w:r>
    </w:p>
    <w:bookmarkEnd w:id="34"/>
    <w:bookmarkStart w:id="35" w:name="trazabilidad"/>
    <w:p>
      <w:pPr>
        <w:pStyle w:val="Heading2"/>
      </w:pPr>
      <w:r>
        <w:t xml:space="preserve">Trazabilidad</w:t>
      </w:r>
    </w:p>
    <w:bookmarkEnd w:id="35"/>
    <w:bookmarkEnd w:id="36"/>
    <w:bookmarkStart w:id="37"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07.04.2022_Reporte_Covid19.pdf" TargetMode="External" /><Relationship Type="http://schemas.openxmlformats.org/officeDocument/2006/relationships/hyperlink" Id="rId21" Target="https://www.minsal.cl/wp-content/uploads/2022/04/Informe-Epidemiolo%CC%81gico-180.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07.04.2022_Reporte_Covid19.pdf" TargetMode="External" /><Relationship Type="http://schemas.openxmlformats.org/officeDocument/2006/relationships/hyperlink" Id="rId21" Target="https://www.minsal.cl/wp-content/uploads/2022/04/Informe-Epidemiolo%CC%81gico-18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2022-04-08T03:14:26Z</dcterms:created>
  <dcterms:modified xsi:type="dcterms:W3CDTF">2022-04-08T03:14:26Z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