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4fdc06617a4ac9b5671c7faaecbc5ba765ad314"/>
    <w:p>
      <w:pPr>
        <w:pStyle w:val="Heading1"/>
      </w:pPr>
      <w:r>
        <w:t xml:space="preserve">Contagios de Covid-19 se estancan en un nivel alto de circulación</w:t>
      </w:r>
    </w:p>
    <w:p>
      <w:pPr>
        <w:pStyle w:val="FirstParagraph"/>
      </w:pPr>
      <w:r>
        <w:t xml:space="preserve">En este informe presentamos el Analisis Semanal Nº76 de Covid-19 elaborado por el Grupo Epidemiológico Matemático para la Vigilancia de Epidemias y Pandemia (GEMVEP) de la Universidad de Santiago. Los datos usados en este informe consideran los casos de Covid-19 informados entre el 22 de Abril y el 28 de Abril .Los datos provienen de las siguientes fuentes de información:</w:t>
      </w:r>
    </w:p>
    <w:p>
      <w:pPr>
        <w:numPr>
          <w:ilvl w:val="0"/>
          <w:numId w:val="1001"/>
        </w:numPr>
      </w:pPr>
      <w:hyperlink r:id="rId20">
        <w:r>
          <w:rPr>
            <w:rStyle w:val="Hyperlink"/>
          </w:rPr>
          <w:t xml:space="preserve">Reporte Covid-19 del dia Jueves 28 de Abril del Ministerio de Salud</w:t>
        </w:r>
      </w:hyperlink>
    </w:p>
    <w:p>
      <w:pPr>
        <w:numPr>
          <w:ilvl w:val="0"/>
          <w:numId w:val="1001"/>
        </w:numPr>
      </w:pPr>
      <w:hyperlink r:id="rId21">
        <w:r>
          <w:rPr>
            <w:rStyle w:val="Hyperlink"/>
          </w:rPr>
          <w:t xml:space="preserve">Informe Epidemiológico con datos hasta el Lunes 25 de Abril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5" w:name="balance-nacional-semanal"/>
    <w:p>
      <w:pPr>
        <w:pStyle w:val="Heading2"/>
      </w:pPr>
      <w:r>
        <w:t xml:space="preserve">Balance Nacional Semanal</w:t>
      </w:r>
    </w:p>
    <w:p>
      <w:pPr>
        <w:pStyle w:val="FirstParagraph"/>
      </w:pPr>
      <w:r>
        <w:t xml:space="preserve">En la ultima semana se han confirmado 13725 casos de Covid-19 en Chile. Una tasa de incidencia de 10.08 casos promedio por día cada 100.000 habitantes.Esta es la menor incidencia en Chile desde el 06 de Enero. Los casos disminuyeron en un -4.67% respecto de la semana anterior,mientras que la variación de casos a 14 días es de un -30.01%.Nuestra estimación del R Efectivo a nivel nacional es de 0.9.</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6 entre 24 países.A nivel mundial Chile está en el lugar 36 entre los 169 países analizados.</w:t>
      </w:r>
    </w:p>
    <w:p>
      <w:pPr>
        <w:pStyle w:val="BodyText"/>
      </w:pPr>
      <w:r>
        <w:t xml:space="preserve">Si analizamos las cifras de vacunación, observamos en Chile que el 90.83 % de la población total tiene su esquema de vacunación completo. En la comparación con los países de Sudamerica, Chile se encuentra en el lugar 1 entre los países con la mayor cobertura de vacunación. En America, Chile está en el lugar 1 entre 24 países.A nivel mundial Chile está en el lugar 1 entre los 169 países de más de un millon de habitantes analizados.</w:t>
      </w:r>
    </w:p>
    <w:p>
      <w:pPr>
        <w:pStyle w:val="BodyText"/>
      </w:pPr>
      <w:r>
        <w:t xml:space="preserve">Además, en la ultima semana se han vacunado con su cuarta dosis contra Covid-19, en promedio por día 49744.4 personas. Esto es una variación del -5.6% respecto a la semana previa. En total ya se han vacunado con la cuarta dosis 3634926 personas. Un 18.68% del total de la población del país. Respecto a la tercera dosis, en la última semana se han vacunado en promedio, 9631.4 personas con esta dosis. Esto es una variación del -3.5% respecto a la semana previa. Un 71.65% del total de la población del país se han vacunado con la tercera dosis. En la comparación con los países de Sudamerica, Chile se encuentra en el lugar 1 entre los países con mayor número de dosis de refuerzo por habitante. En America, Chile está en el lugar 1 entre 24 países.A nivel mundial Chile está en el lugar 1 entre los 169 países analizados.</w:t>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Magallanes 21.22 casos cada 100.000 habitantes</w:t>
      </w:r>
      <w:r>
        <w:br/>
      </w:r>
      <w:r>
        <w:t xml:space="preserve">Valparaiso 12.45</w:t>
      </w:r>
      <w:r>
        <w:br/>
      </w:r>
      <w:r>
        <w:t xml:space="preserve">Nuble 11.84</w:t>
      </w:r>
      <w:r>
        <w:br/>
      </w:r>
      <w:r>
        <w:t xml:space="preserve">Atacama 11.26</w:t>
      </w:r>
      <w:r>
        <w:br/>
      </w:r>
      <w:r>
        <w:t xml:space="preserve">Aysen 11.18</w:t>
      </w:r>
    </w:p>
    <w:p>
      <w:pPr>
        <w:pStyle w:val="BodyText"/>
      </w:pPr>
      <w:r>
        <w:t xml:space="preserve">Las regiones con las menores tasas de incidencia promedio en la ultima semana son:</w:t>
      </w:r>
    </w:p>
    <w:p>
      <w:pPr>
        <w:pStyle w:val="BodyText"/>
      </w:pPr>
      <w:r>
        <w:t xml:space="preserve">Arica 5.33 casos cada 100.000 habitantes</w:t>
      </w:r>
      <w:r>
        <w:br/>
      </w:r>
      <w:r>
        <w:t xml:space="preserve">Tarapaca 5.3</w:t>
      </w:r>
      <w:r>
        <w:br/>
      </w:r>
      <w:r>
        <w:t xml:space="preserve">Los Lagos 3.77</w:t>
      </w:r>
    </w:p>
    <w:p>
      <w:pPr>
        <w:pStyle w:val="BodyText"/>
      </w:pPr>
      <w:r>
        <w:t xml:space="preserve">Actualmente, 8 de 16 regiones del país tienen un nivel crítico de contagios.</w:t>
      </w:r>
    </w:p>
    <w:p>
      <w:pPr>
        <w:pStyle w:val="BodyText"/>
      </w:pPr>
      <w:r>
        <w:t xml:space="preserve">Además, 3 de 16 regiones del país han aumentado casos de Covid-19 en los últimos 7 días. Las regiones con los mayores aumentos de casos de Covid-19 en la ultima semana son:</w:t>
      </w:r>
    </w:p>
    <w:p>
      <w:pPr>
        <w:pStyle w:val="BodyText"/>
      </w:pPr>
      <w:r>
        <w:t xml:space="preserve">Magallanes + 28.64 %</w:t>
      </w:r>
      <w:r>
        <w:br/>
      </w:r>
      <w:r>
        <w:t xml:space="preserve">Tarapaca + 16.39 %</w:t>
      </w:r>
      <w:r>
        <w:br/>
      </w:r>
      <w:r>
        <w:t xml:space="preserve">Coquimbo + 3.65 %</w:t>
      </w:r>
    </w:p>
    <w:p>
      <w:pPr>
        <w:pStyle w:val="BodyText"/>
      </w:pPr>
      <w:r>
        <w:t xml:space="preserve">Por otra parte, las regiones con las mayores disminuciones de casos de Covid-19 en la ultima semana son:</w:t>
      </w:r>
    </w:p>
    <w:p>
      <w:pPr>
        <w:pStyle w:val="BodyText"/>
      </w:pPr>
      <w:r>
        <w:t xml:space="preserve">Los Rios -10.33 %</w:t>
      </w:r>
      <w:r>
        <w:br/>
      </w:r>
      <w:r>
        <w:t xml:space="preserve">Aysen -14.29 %</w:t>
      </w:r>
      <w:r>
        <w:br/>
      </w:r>
      <w:r>
        <w:t xml:space="preserve">Araucania -14.8 %</w:t>
      </w:r>
      <w:r>
        <w:br/>
      </w:r>
      <w:r>
        <w:t xml:space="preserve">Los Lagos -15.47 %</w:t>
      </w:r>
      <w:r>
        <w:br/>
      </w:r>
      <w:r>
        <w:t xml:space="preserve">Bio-Bio -17.49 %</w:t>
      </w:r>
      <w:r>
        <w:br/>
      </w:r>
      <w:r>
        <w:t xml:space="preserve">Ohiggins -25.68 %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t xml:space="preserve">No damos alerta en ninguna región del país .Además, la región de Magallanes tiene la mayor tasa de Positividad con ( 6.5 %) y la region de Magallanes tiene el mayor R efectivo con ( 1.2 )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28 de Abril fue 239( 56 menos que semana previa).Esta es la menor cantidad de pacientes Covid-19 en UCI informados desde el inicio de la pandemia.Además, este día se informaron 173 pacientes Covid-19 en ventilación mecánica invasiva (VMI)( 40 menos que semana previa).</w:t>
      </w:r>
      <w:r>
        <w:br/>
      </w:r>
      <w:r>
        <w:t xml:space="preserve">La ocupación de camas UCI en el país es de un 84.8 %. Esta es la menor tasa de ocupación UCI en Chile desde el 25 de Abril de 2022 .Las regiones con mayor porcentaje de ocupación UCI son:</w:t>
      </w:r>
    </w:p>
    <w:p>
      <w:pPr>
        <w:pStyle w:val="BodyText"/>
      </w:pPr>
      <w:r>
        <w:t xml:space="preserve">Coquimbo 96.61 %</w:t>
      </w:r>
      <w:r>
        <w:br/>
      </w:r>
      <w:r>
        <w:t xml:space="preserve">Antofagasta 89.33 %</w:t>
      </w:r>
      <w:r>
        <w:br/>
      </w:r>
      <w:r>
        <w:t xml:space="preserve">Los Rios 89.29 %</w:t>
      </w:r>
      <w:r>
        <w:br/>
      </w:r>
      <w:r>
        <w:t xml:space="preserve">Araucania 87.78 %</w:t>
      </w:r>
      <w:r>
        <w:br/>
      </w:r>
      <w:r>
        <w:t xml:space="preserve">Maule 87.62 %</w:t>
      </w:r>
      <w:r>
        <w:br/>
      </w:r>
      <w:r>
        <w:t xml:space="preserve">Este dia, 8 de las 16 regiones del país tuvieron una ocupación de camas UCI superior al 80%.Las regiones que tuvieron menor ocupación UCI son:</w:t>
      </w:r>
    </w:p>
    <w:p>
      <w:pPr>
        <w:pStyle w:val="BodyText"/>
      </w:pPr>
      <w:r>
        <w:t xml:space="preserve">Nuble 63.64 %</w:t>
      </w:r>
      <w:r>
        <w:br/>
      </w:r>
      <w:r>
        <w:t xml:space="preserve">Aysen 60 %</w:t>
      </w:r>
      <w:r>
        <w:br/>
      </w:r>
      <w:r>
        <w:t xml:space="preserve">Magallanes 50 %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Coquimbo 2 camas UCI disponibles</w:t>
      </w:r>
      <w:r>
        <w:br/>
      </w:r>
      <w:r>
        <w:t xml:space="preserve">Los Rios 3</w:t>
      </w:r>
      <w:r>
        <w:br/>
      </w:r>
      <w:r>
        <w:t xml:space="preserve">Atacama 4</w:t>
      </w:r>
      <w:r>
        <w:br/>
      </w:r>
      <w:r>
        <w:t xml:space="preserve">Aysen 4</w:t>
      </w:r>
      <w:r>
        <w:br/>
      </w:r>
      <w:r>
        <w:t xml:space="preserve">Arica 5</w:t>
      </w:r>
      <w:r>
        <w:br/>
      </w:r>
      <w:r>
        <w:t xml:space="preserve">Las regiones con mayor proporción de camas UCI usadas sobre el basal de camas UCI disponibles en 2019 son:</w:t>
      </w:r>
    </w:p>
    <w:p>
      <w:pPr>
        <w:pStyle w:val="BodyText"/>
      </w:pPr>
      <w:r>
        <w:t xml:space="preserve">Maule 204.44 %</w:t>
      </w:r>
      <w:r>
        <w:br/>
      </w:r>
      <w:r>
        <w:t xml:space="preserve">Coquimbo 196.55 %</w:t>
      </w:r>
      <w:r>
        <w:br/>
      </w:r>
      <w:r>
        <w:t xml:space="preserve">Los Rios 192.31 %</w:t>
      </w:r>
      <w:r>
        <w:br/>
      </w:r>
      <w:r>
        <w:t xml:space="preserve">Nuble 175 %</w:t>
      </w:r>
      <w:r>
        <w:br/>
      </w:r>
      <w:r>
        <w:t xml:space="preserve">Los Lagos 165.31 %</w:t>
      </w:r>
      <w:r>
        <w:br/>
      </w:r>
      <w:r>
        <w:t xml:space="preserve">Este dia, 13 de las 16 regiones del país tienen una ocupación sobre el 100% de camas bases del año 2019. En Chile, la ocupación sobre el basal de camas del año 2019 es de un 134.56 %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4381 casos en los últimos 7 días. Esto corresponde a un 26.76% del total de la población contagiada. Además, el grupo etario con el mayor aumento de contagios en la última semana es el grupo de personas entre 30 y 39 años con un aumento del 2.01% respecto a la semana previa.</w:t>
      </w:r>
    </w:p>
    <w:p>
      <w:pPr>
        <w:pStyle w:val="BodyText"/>
      </w:pPr>
      <w:r>
        <w:t xml:space="preserve">Además, respecto a las hospitalizaciones, el grupo etario con mayor cantidad de pacientes Covid-19 en UCI son las personas mayores de 70 años que cuenta con 99 pacientes Covid-19 en UCI. Esto corresponde a un 40.57% del total. Además, ningún grupo etario aumentó pacientes Covid-19 en UCI en la última semana. El grupo etario con la disminución más leve de pacientes Covid-19 en UCI es el tramo entre 40 y 49 años que mantuvo contagios respecto a la semana previa.</w:t>
      </w:r>
    </w:p>
    <w:bookmarkEnd w:id="30"/>
    <w:bookmarkStart w:id="34" w:name="análisis-por-esquema-de-vacunación"/>
    <w:p>
      <w:pPr>
        <w:pStyle w:val="Heading2"/>
      </w:pPr>
      <w:r>
        <w:t xml:space="preserve">Análisis por Esquema de Vacunación</w:t>
      </w:r>
    </w:p>
    <w:p>
      <w:pPr>
        <w:pStyle w:val="FirstParagraph"/>
      </w:pPr>
      <w:r>
        <w:t xml:space="preserve">En la semana epidemiológica 16 (17 al 23 de Abril) la tasa de incidencia de Covid-19 en población con esquema incompleto de vacunación fue 77.6 casos c/100.000h, mientras que en población con dosis de refuerzo fue 86.7 casos c/100.000h. Valores similares a los informados en la semana previa. Además, la tasa de ingresos a UCI por Covid-19 en población con esquema incompleto fue 0.3 ingresos c/100.000h, un valor 3 veces mayor al observado en población con dosis de refuerzo (0.1 ingresos a UCI c/100.000h).Finalmente, la tasa de fallecimientos por Covid-19 confirmado disminuyó en todos los esquemas de vacunación.En población con esquema incompleto la tasa fue 0.3 decesos c/100.000h, mientras que en población con dosis de refuerzo fue 0.1 decesos c/100.000h</w:t>
      </w:r>
      <w:r>
        <w:t xml:space="preserve"> </w:t>
      </w:r>
      <w:r>
        <w:drawing>
          <wp:inline>
            <wp:extent cx="5334000" cy="4000500"/>
            <wp:effectExtent b="0" l="0" r="0" t="0"/>
            <wp:docPr descr="Incidencia en Casos de Covid-19 según esquema de vacunación" title="" id="1" name="Picture"/>
            <a:graphic>
              <a:graphicData uri="http://schemas.openxmlformats.org/drawingml/2006/picture">
                <pic:pic>
                  <pic:nvPicPr>
                    <pic:cNvPr descr="InformeGEMVEP2_files/figure-docx/unnamed-chunk-7-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Ingresos a UCI por Covid-19 confirmado según esquema de vacunación" title="" id="1" name="Picture"/>
            <a:graphic>
              <a:graphicData uri="http://schemas.openxmlformats.org/drawingml/2006/picture">
                <pic:pic>
                  <pic:nvPicPr>
                    <pic:cNvPr descr="InformeGEMVEP2_files/figure-docx/unnamed-chunk-7-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Fallecimientos por Covid-19 confirmado según esquema de vacunación" title="" id="1" name="Picture"/>
            <a:graphic>
              <a:graphicData uri="http://schemas.openxmlformats.org/drawingml/2006/picture">
                <pic:pic>
                  <pic:nvPicPr>
                    <pic:cNvPr descr="InformeGEMVEP2_files/figure-docx/unnamed-chunk-7-3.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Situación Comunal</w:t>
      </w:r>
    </w:p>
    <w:p>
      <w:pPr>
        <w:pStyle w:val="BodyText"/>
      </w:pPr>
      <w:r>
        <w:t xml:space="preserve">En el analisis comunal notamos que 160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Los Andes 45.95 casos cada 100.000 habitantes</w:t>
      </w:r>
      <w:r>
        <w:br/>
      </w:r>
      <w:r>
        <w:t xml:space="preserve">Punta Arenas 28.57</w:t>
      </w:r>
      <w:r>
        <w:br/>
      </w:r>
      <w:r>
        <w:t xml:space="preserve">Casablanca 26.45</w:t>
      </w:r>
      <w:r>
        <w:br/>
      </w:r>
      <w:r>
        <w:t xml:space="preserve">Providencia 25.72</w:t>
      </w:r>
      <w:r>
        <w:br/>
      </w:r>
      <w:r>
        <w:t xml:space="preserve">Las Condes 25.22</w:t>
      </w:r>
      <w:r>
        <w:br/>
      </w:r>
      <w:r>
        <w:t xml:space="preserve">Lo Barnechea 24.75</w:t>
      </w:r>
      <w:r>
        <w:br/>
      </w:r>
      <w:r>
        <w:t xml:space="preserve">Vitacura 22</w:t>
      </w:r>
      <w:r>
        <w:br/>
      </w:r>
      <w:r>
        <w:t xml:space="preserve">La Reina 21.37</w:t>
      </w:r>
      <w:r>
        <w:br/>
      </w:r>
      <w:r>
        <w:t xml:space="preserve">Osorno 21.34</w:t>
      </w:r>
      <w:r>
        <w:br/>
      </w:r>
      <w:r>
        <w:t xml:space="preserve">Talca 21.24</w:t>
      </w:r>
    </w:p>
    <w:p>
      <w:pPr>
        <w:pStyle w:val="BodyText"/>
      </w:pPr>
      <w:r>
        <w:t xml:space="preserve">Además, 10 comunas de más de 25.000 habitantes aumentaron sus casos en los últimos 7 días. Las comunas con mayor aumento de casos son:</w:t>
      </w:r>
    </w:p>
    <w:p>
      <w:pPr>
        <w:pStyle w:val="BodyText"/>
      </w:pPr>
      <w:r>
        <w:t xml:space="preserve">Teno + 255.56 %</w:t>
      </w:r>
      <w:r>
        <w:br/>
      </w:r>
      <w:r>
        <w:t xml:space="preserve">El Monte + 183.33 %</w:t>
      </w:r>
      <w:r>
        <w:br/>
      </w:r>
      <w:r>
        <w:t xml:space="preserve">Coihueco + 166.67 %</w:t>
      </w:r>
      <w:r>
        <w:br/>
      </w:r>
      <w:r>
        <w:t xml:space="preserve">Chimbarongo + 116.67 %</w:t>
      </w:r>
      <w:r>
        <w:br/>
      </w:r>
      <w:r>
        <w:t xml:space="preserve">Canete + 100 %</w:t>
      </w:r>
      <w:r>
        <w:br/>
      </w:r>
      <w:r>
        <w:t xml:space="preserve">Calama + 94.87 %</w:t>
      </w:r>
      <w:r>
        <w:br/>
      </w:r>
      <w:r>
        <w:t xml:space="preserve">Curacavi + 81.82 %</w:t>
      </w:r>
      <w:r>
        <w:br/>
      </w:r>
      <w:r>
        <w:t xml:space="preserve">La Ligua + 80 %</w:t>
      </w:r>
      <w:r>
        <w:br/>
      </w:r>
      <w:r>
        <w:t xml:space="preserve">La Granja + 79.63 %</w:t>
      </w:r>
      <w:r>
        <w:br/>
      </w:r>
      <w:r>
        <w:t xml:space="preserve">Mulchen + 77.78 %</w:t>
      </w:r>
    </w:p>
    <w:bookmarkEnd w:id="34"/>
    <w:bookmarkStart w:id="35" w:name="trazabilidad"/>
    <w:p>
      <w:pPr>
        <w:pStyle w:val="Heading2"/>
      </w:pPr>
      <w:r>
        <w:t xml:space="preserve">Trazabilidad</w:t>
      </w:r>
    </w:p>
    <w:bookmarkEnd w:id="35"/>
    <w:bookmarkEnd w:id="36"/>
    <w:bookmarkStart w:id="37"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8.04.2022_Reporte_Covid19.pdf" TargetMode="External" /><Relationship Type="http://schemas.openxmlformats.org/officeDocument/2006/relationships/hyperlink" Id="rId21" Target="https://www.minsal.cl/wp-content/uploads/2022/04/Informe-Epidemiolo%CC%81gico-18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8.04.2022_Reporte_Covid19.pdf" TargetMode="External" /><Relationship Type="http://schemas.openxmlformats.org/officeDocument/2006/relationships/hyperlink" Id="rId21" Target="https://www.minsal.cl/wp-content/uploads/2022/04/Informe-Epidemiolo%CC%81gico-18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2022-04-28T22:50:33Z</dcterms:created>
  <dcterms:modified xsi:type="dcterms:W3CDTF">2022-04-28T22:50:33Z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