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653d0011bc680c18e154c8693927b543c867bee"/>
    <w:p>
      <w:pPr>
        <w:pStyle w:val="Heading1"/>
      </w:pPr>
      <w:r>
        <w:t xml:space="preserve">Llego la tercera ola a la Región Metropolitana</w:t>
      </w:r>
    </w:p>
    <w:p>
      <w:pPr>
        <w:pStyle w:val="FirstParagraph"/>
      </w:pPr>
      <w:r>
        <w:t xml:space="preserve">En este informe presentamos el Analisis Semanal Nº50 de Covid-19 elaborado por el Grupo Epidemiológico Matemático para la Vigilancia de Epidemias y Pandemia (GEMVEP) de la Universidad de Santiago. Los datos usados en este informe consideran los casos de Covid-19 informados entre el 22 de Octubre y el 28 de Octubre .Los datos provienen de las siguientes fuentes de información:</w:t>
      </w:r>
    </w:p>
    <w:p>
      <w:pPr>
        <w:numPr>
          <w:ilvl w:val="0"/>
          <w:numId w:val="1001"/>
        </w:numPr>
      </w:pPr>
      <w:hyperlink r:id="rId20">
        <w:r>
          <w:rPr>
            <w:rStyle w:val="Hyperlink"/>
          </w:rPr>
          <w:t xml:space="preserve">Reporte Covid-19 del dia Jueves 28 de Octubre del Ministerio de Salud</w:t>
        </w:r>
      </w:hyperlink>
    </w:p>
    <w:p>
      <w:pPr>
        <w:numPr>
          <w:ilvl w:val="0"/>
          <w:numId w:val="1001"/>
        </w:numPr>
      </w:pPr>
      <w:hyperlink r:id="rId21">
        <w:r>
          <w:rPr>
            <w:rStyle w:val="Hyperlink"/>
          </w:rPr>
          <w:t xml:space="preserve">Informe Epidemiológico con datos hasta el Lunes 26 de Octubre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12860 casos de Covid-19 en Chile. Una tasa de incidencia de 9.44 cada 100.000 habitantes.Este es la mayor incidencia semanal en Chile desde el 17 de Julio .Esto es un aumento de un 23.54 % de los casos respecto de la semana anterior. Nuestra estimación del R Efectivo a nivel nacional es de 1.28 . La incidencia actual esta 1.1 veces bajo un nivel crítico de contagios. Además, en último informe epidemiológico se informaron 12.022 casos activos (confirmados y probables) de Covid-19 en la última semana en el pais (tasa de 61,8 casos c/100.000h). Nosotros estimamos 21.522 casos activos (110,6 casos c/100.000h). En consecuencia, estimamos un subreporte de casos activos de un 44.1%</w:t>
      </w:r>
    </w:p>
    <w:p>
      <w:pPr>
        <w:pStyle w:val="BodyText"/>
      </w:pPr>
      <w:r>
        <w:t xml:space="preserve">Las regiones con las mayores tasas de incidencia promedio en la ultima semana son:</w:t>
      </w:r>
    </w:p>
    <w:p>
      <w:pPr>
        <w:pStyle w:val="BodyText"/>
      </w:pPr>
      <w:r>
        <w:t xml:space="preserve">Metropolitana 13.17 casos cada 100.000 habitantes</w:t>
      </w:r>
      <w:r>
        <w:br/>
      </w:r>
      <w:r>
        <w:t xml:space="preserve">Tarapaca 11.08</w:t>
      </w:r>
      <w:r>
        <w:br/>
      </w:r>
      <w:r>
        <w:t xml:space="preserve">Antofagasta 10.06</w:t>
      </w:r>
      <w:r>
        <w:br/>
      </w:r>
      <w:r>
        <w:t xml:space="preserve">Maule 9.31</w:t>
      </w:r>
      <w:r>
        <w:br/>
      </w:r>
      <w:r>
        <w:t xml:space="preserve">Coquimbo 8.08</w:t>
      </w:r>
    </w:p>
    <w:p>
      <w:pPr>
        <w:pStyle w:val="BodyText"/>
      </w:pPr>
      <w:r>
        <w:t xml:space="preserve">Las regiones con las menores tasas de incidencia promedio en la ultima semana son:</w:t>
      </w:r>
    </w:p>
    <w:p>
      <w:pPr>
        <w:pStyle w:val="BodyText"/>
      </w:pPr>
      <w:r>
        <w:t xml:space="preserve">Los Lagos 4.94 casos cada 100.000 habitantes</w:t>
      </w:r>
      <w:r>
        <w:br/>
      </w:r>
      <w:r>
        <w:t xml:space="preserve">Araucania 3.13</w:t>
      </w:r>
      <w:r>
        <w:br/>
      </w:r>
      <w:r>
        <w:t xml:space="preserve">Magallanes 2.64</w:t>
      </w:r>
    </w:p>
    <w:p>
      <w:pPr>
        <w:pStyle w:val="BodyText"/>
      </w:pPr>
      <w:r>
        <w:t xml:space="preserve">Actualmente, 3 de 16 regiones del país tienen un nivel crítico de contagios.</w:t>
      </w:r>
    </w:p>
    <w:p>
      <w:pPr>
        <w:pStyle w:val="BodyText"/>
      </w:pPr>
      <w:r>
        <w:t xml:space="preserve">Además, 14 de 16 regiones del país han aumentado casos de Covid-19 en los últimos 7 días. Las regiones con los mayores aumentos de casos de Covid-19 en la ultima semana son:</w:t>
      </w:r>
    </w:p>
    <w:p>
      <w:pPr>
        <w:pStyle w:val="BodyText"/>
      </w:pPr>
      <w:r>
        <w:t xml:space="preserve">Magallanes + 120 %</w:t>
      </w:r>
      <w:r>
        <w:br/>
      </w:r>
      <w:r>
        <w:t xml:space="preserve">Aysen + 116 %</w:t>
      </w:r>
      <w:r>
        <w:br/>
      </w:r>
      <w:r>
        <w:t xml:space="preserve">Coquimbo + 97.91 %</w:t>
      </w:r>
      <w:r>
        <w:br/>
      </w:r>
      <w:r>
        <w:t xml:space="preserve">Los Lagos + 67.39 %</w:t>
      </w:r>
      <w:r>
        <w:br/>
      </w:r>
      <w:r>
        <w:t xml:space="preserve">Atacama + 50.49 %</w:t>
      </w:r>
      <w:r>
        <w:br/>
      </w:r>
      <w:r>
        <w:t xml:space="preserve">Mientras que las regiones con las mayores disminuciones de casos de Covid-19 en la ultima semana son:</w:t>
      </w:r>
    </w:p>
    <w:p>
      <w:pPr>
        <w:pStyle w:val="BodyText"/>
      </w:pPr>
      <w:r>
        <w:t xml:space="preserve">Antofagasta 4.06 %</w:t>
      </w:r>
      <w:r>
        <w:br/>
      </w:r>
      <w:r>
        <w:t xml:space="preserve">Los Rios -2.94 %</w:t>
      </w:r>
      <w:r>
        <w:br/>
      </w:r>
      <w:r>
        <w:t xml:space="preserve">Arica -17.06 %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ejemplo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Tarapaca, Antofagasta, Metropolitana, y Maule .Además, la región de Metropolitana tiene la mayor tasa de Positividad con ( 4.5 %) y la region de Magallanes tiene el mayor R efectivo con ( 2.1 )</w:t>
      </w:r>
    </w:p>
    <w:bookmarkEnd w:id="25"/>
    <w:bookmarkStart w:id="28" w:name="hospitalizaciones"/>
    <w:p>
      <w:pPr>
        <w:pStyle w:val="Heading2"/>
      </w:pPr>
      <w:r>
        <w:t xml:space="preserve">Hospitalizaciones</w:t>
      </w:r>
    </w:p>
    <w:p>
      <w:pPr>
        <w:pStyle w:val="FirstParagraph"/>
      </w:pPr>
      <w:r>
        <w:t xml:space="preserve">El número de pacientes con Covid-19 en UCI informados el 28 de Octubre fue 437 ( 37 mas que semana previa) . Además, este día se informaron 346 pacientes Covid-19 en ventilación mecánica invasiva (VMI) ( 37 menos que semana previa) .</w:t>
      </w:r>
      <w:r>
        <w:br/>
      </w:r>
      <w:r>
        <w:t xml:space="preserve">Las regiones con mayor porcentaje de ocupación UCI al día son:</w:t>
      </w:r>
    </w:p>
    <w:p>
      <w:pPr>
        <w:pStyle w:val="BodyText"/>
      </w:pPr>
      <w:r>
        <w:t xml:space="preserve">Antofagasta 97.26 %</w:t>
      </w:r>
      <w:r>
        <w:br/>
      </w:r>
      <w:r>
        <w:t xml:space="preserve">Valparaiso 95.57 %</w:t>
      </w:r>
      <w:r>
        <w:br/>
      </w:r>
      <w:r>
        <w:t xml:space="preserve">Tarapaca 92.86 %</w:t>
      </w:r>
      <w:r>
        <w:br/>
      </w:r>
      <w:r>
        <w:t xml:space="preserve">Metropolitana 89.04 %</w:t>
      </w:r>
      <w:r>
        <w:br/>
      </w:r>
      <w:r>
        <w:t xml:space="preserve">Ohiggins 88.24 %</w:t>
      </w:r>
      <w:r>
        <w:br/>
      </w:r>
      <w:r>
        <w:t xml:space="preserve">Este dia, 8 de las 16 regiones del país tuvieron una ocupación de camas UCI superior al 80%.Las regiones que tuvieron menor ocupación UCI son:</w:t>
      </w:r>
    </w:p>
    <w:p>
      <w:pPr>
        <w:pStyle w:val="BodyText"/>
      </w:pPr>
      <w:r>
        <w:t xml:space="preserve">Nuble 62.5 %</w:t>
      </w:r>
      <w:r>
        <w:br/>
      </w:r>
      <w:r>
        <w:t xml:space="preserve">Magallanes 61.9 %</w:t>
      </w:r>
      <w:r>
        <w:br/>
      </w:r>
      <w:r>
        <w:t xml:space="preserve">Aysen 30 %</w:t>
      </w:r>
      <w:r>
        <w:br/>
      </w:r>
      <w:r>
        <w:drawing>
          <wp:inline>
            <wp:extent cx="5334000" cy="4000500"/>
            <wp:effectExtent b="0" l="0" r="0" t="0"/>
            <wp:docPr descr="Porcentaje de Ocupación UCI por Region" title="" id="1" name="Picture"/>
            <a:graphic>
              <a:graphicData uri="http://schemas.openxmlformats.org/drawingml/2006/picture">
                <pic:pic>
                  <pic:nvPicPr>
                    <pic:cNvPr descr="ejemplo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Tarapaca 2 camas UCI disponibles</w:t>
      </w:r>
      <w:r>
        <w:br/>
      </w:r>
      <w:r>
        <w:t xml:space="preserve">Antofagasta 2</w:t>
      </w:r>
      <w:r>
        <w:br/>
      </w:r>
      <w:r>
        <w:t xml:space="preserve">Arica 3</w:t>
      </w:r>
      <w:r>
        <w:br/>
      </w:r>
      <w:r>
        <w:t xml:space="preserve">Atacama 3</w:t>
      </w:r>
      <w:r>
        <w:br/>
      </w:r>
      <w:r>
        <w:t xml:space="preserve">Valparaiso 7</w:t>
      </w:r>
      <w:r>
        <w:br/>
      </w:r>
      <w:r>
        <w:t xml:space="preserve">Las regiones con mayor proporción de camas UCI usadas sobre el basal de camas UCI disponibles en 2019 son:</w:t>
      </w:r>
    </w:p>
    <w:p>
      <w:pPr>
        <w:pStyle w:val="BodyText"/>
      </w:pPr>
      <w:r>
        <w:t xml:space="preserve">Tarapaca 216.67 %</w:t>
      </w:r>
      <w:r>
        <w:br/>
      </w:r>
      <w:r>
        <w:t xml:space="preserve">Araucania 191.84 %</w:t>
      </w:r>
      <w:r>
        <w:br/>
      </w:r>
      <w:r>
        <w:t xml:space="preserve">Nuble 156.25 %</w:t>
      </w:r>
      <w:r>
        <w:br/>
      </w:r>
      <w:r>
        <w:t xml:space="preserve">Antofagasta 147.92 %</w:t>
      </w:r>
      <w:r>
        <w:br/>
      </w:r>
      <w:r>
        <w:t xml:space="preserve">Atacama 145.45 %</w:t>
      </w:r>
      <w:r>
        <w:br/>
      </w:r>
      <w:r>
        <w:t xml:space="preserve">Este dia, 13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ejemplo2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102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Tocopilla 44.77 casos cada 100.000 habitantes</w:t>
      </w:r>
      <w:r>
        <w:br/>
      </w:r>
      <w:r>
        <w:t xml:space="preserve">Padre Hurtado 33.12</w:t>
      </w:r>
      <w:r>
        <w:br/>
      </w:r>
      <w:r>
        <w:t xml:space="preserve">Cartagena 28.17</w:t>
      </w:r>
      <w:r>
        <w:br/>
      </w:r>
      <w:r>
        <w:t xml:space="preserve">Calera de Tango 26.54</w:t>
      </w:r>
      <w:r>
        <w:br/>
      </w:r>
      <w:r>
        <w:t xml:space="preserve">Parral 24.69</w:t>
      </w:r>
    </w:p>
    <w:p>
      <w:pPr>
        <w:pStyle w:val="BodyText"/>
      </w:pPr>
      <w:r>
        <w:t xml:space="preserve">San Miguel 21.79</w:t>
      </w:r>
      <w:r>
        <w:br/>
      </w:r>
      <w:r>
        <w:t xml:space="preserve">Curacavi 21.18</w:t>
      </w:r>
      <w:r>
        <w:br/>
      </w:r>
      <w:r>
        <w:t xml:space="preserve">Quinta Normal 20.11</w:t>
      </w:r>
      <w:r>
        <w:br/>
      </w:r>
      <w:r>
        <w:t xml:space="preserve">San Antonio 20.08</w:t>
      </w:r>
    </w:p>
    <w:p>
      <w:pPr>
        <w:pStyle w:val="BodyText"/>
      </w:pPr>
      <w:r>
        <w:t xml:space="preserve">Rengo 19.73</w:t>
      </w:r>
    </w:p>
    <w:p>
      <w:pPr>
        <w:pStyle w:val="BodyText"/>
      </w:pPr>
      <w:r>
        <w:t xml:space="preserve">Las comunas de más de 25.000 habitantes con mayor aumento de casos en la ultima semana son:</w:t>
      </w:r>
    </w:p>
    <w:p>
      <w:pPr>
        <w:pStyle w:val="BodyText"/>
      </w:pPr>
      <w:r>
        <w:t xml:space="preserve">Salamanca + 214.29 %</w:t>
      </w:r>
      <w:r>
        <w:br/>
      </w:r>
      <w:r>
        <w:t xml:space="preserve">Las Cabras + 64.29 %</w:t>
      </w:r>
      <w:r>
        <w:br/>
      </w:r>
      <w:r>
        <w:t xml:space="preserve">Punta Arenas + 64.29 %</w:t>
      </w:r>
      <w:r>
        <w:br/>
      </w:r>
      <w:r>
        <w:t xml:space="preserve">Illapel + 55.56 %</w:t>
      </w:r>
      <w:r>
        <w:br/>
      </w:r>
      <w:r>
        <w:t xml:space="preserve">San Vicente + 55.36 %</w:t>
      </w:r>
      <w:r>
        <w:br/>
      </w:r>
      <w:r>
        <w:t xml:space="preserve">Chiguayante + 33.33 %</w:t>
      </w:r>
      <w:r>
        <w:br/>
      </w:r>
      <w:r>
        <w:t xml:space="preserve">Pitrufquen + 28.57 %</w:t>
      </w:r>
      <w:r>
        <w:br/>
      </w:r>
      <w:r>
        <w:t xml:space="preserve">Panguipulli + 28.57 %</w:t>
      </w:r>
      <w:r>
        <w:br/>
      </w:r>
      <w:r>
        <w:t xml:space="preserve">Rio Bueno + 28.57 %</w:t>
      </w:r>
      <w:r>
        <w:br/>
      </w:r>
      <w:r>
        <w:t xml:space="preserve">La Cruz + 25.71 %</w:t>
      </w:r>
    </w:p>
    <w:bookmarkEnd w:id="28"/>
    <w:bookmarkStart w:id="29" w:name="trazabilidad"/>
    <w:p>
      <w:pPr>
        <w:pStyle w:val="Heading2"/>
      </w:pPr>
      <w:r>
        <w:t xml:space="preserve">Trazabilidad</w:t>
      </w:r>
    </w:p>
    <w:p>
      <w:pPr>
        <w:pStyle w:val="FirstParagraph"/>
      </w:pPr>
      <w:r>
        <w:t xml:space="preserve">Según el último informe de Testeo, Trazabilidad y Aislamiento de esta semana, en Chile se encuentran 3.59 contactos por cada caso confirmado. Esto es un aumento del 0.03 % respecto a la semana anterior.</w:t>
      </w:r>
    </w:p>
    <w:p>
      <w:pPr>
        <w:pStyle w:val="BodyText"/>
      </w:pPr>
      <w:r>
        <w:t xml:space="preserve">Las regiones con mayor trazabilidad del país en este nuevo informe son:</w:t>
      </w:r>
    </w:p>
    <w:p>
      <w:pPr>
        <w:pStyle w:val="BodyText"/>
      </w:pPr>
      <w:r>
        <w:t xml:space="preserve">Aysen 7.71 contactos por caso</w:t>
      </w:r>
      <w:r>
        <w:br/>
      </w:r>
      <w:r>
        <w:t xml:space="preserve">Arica 7.44</w:t>
      </w:r>
      <w:r>
        <w:br/>
      </w:r>
      <w:r>
        <w:t xml:space="preserve">Atacama 6.87</w:t>
      </w:r>
      <w:r>
        <w:br/>
      </w:r>
      <w:r>
        <w:t xml:space="preserve">Nuble 6.4</w:t>
      </w:r>
    </w:p>
    <w:p>
      <w:pPr>
        <w:pStyle w:val="BodyText"/>
      </w:pPr>
      <w:r>
        <w:t xml:space="preserve">Por otra parte las regiones con menor trazabilidad del país son:</w:t>
      </w:r>
    </w:p>
    <w:p>
      <w:pPr>
        <w:pStyle w:val="BodyText"/>
      </w:pPr>
      <w:r>
        <w:t xml:space="preserve">Tarapaca 4.2 contactos por caso</w:t>
      </w:r>
      <w:r>
        <w:br/>
      </w:r>
      <w:r>
        <w:t xml:space="preserve">Ohiggins 4.09</w:t>
      </w:r>
      <w:r>
        <w:br/>
      </w:r>
      <w:r>
        <w:t xml:space="preserve">Valparaiso 3.75</w:t>
      </w:r>
      <w:r>
        <w:br/>
      </w:r>
      <w:r>
        <w:t xml:space="preserve">Metropolitana 2.66</w:t>
      </w:r>
      <w:r>
        <w:br/>
      </w:r>
      <w:r>
        <w:t xml:space="preserve">Las comunas de más de 25.000 habitantes con la mejor trazabilidad del país en la ultima semana son:</w:t>
      </w:r>
    </w:p>
    <w:p>
      <w:pPr>
        <w:pStyle w:val="BodyText"/>
      </w:pPr>
      <w:r>
        <w:t xml:space="preserve">Nacimiento 15 contactos por caso</w:t>
      </w:r>
      <w:r>
        <w:br/>
      </w:r>
      <w:r>
        <w:t xml:space="preserve">Lota 13.78</w:t>
      </w:r>
      <w:r>
        <w:br/>
      </w:r>
      <w:r>
        <w:t xml:space="preserve">Molina 11.5</w:t>
      </w:r>
      <w:r>
        <w:br/>
      </w:r>
      <w:r>
        <w:t xml:space="preserve">Freire 11.4</w:t>
      </w:r>
      <w:r>
        <w:br/>
      </w:r>
      <w:r>
        <w:t xml:space="preserve">Salamanca 10.11</w:t>
      </w:r>
    </w:p>
    <w:p>
      <w:pPr>
        <w:pStyle w:val="BodyText"/>
      </w:pPr>
      <w:r>
        <w:t xml:space="preserve">Por otra parte. Las comunas de más de 25.000 habitantes con la peor trazabilidad del país en la ultima semana son:</w:t>
      </w:r>
    </w:p>
    <w:p>
      <w:pPr>
        <w:pStyle w:val="BodyText"/>
      </w:pPr>
      <w:r>
        <w:t xml:space="preserve">Pirque 1.29 contactos por caso</w:t>
      </w:r>
      <w:r>
        <w:br/>
      </w:r>
      <w:r>
        <w:t xml:space="preserve">Carahue 1.67</w:t>
      </w:r>
      <w:r>
        <w:br/>
      </w:r>
      <w:r>
        <w:t xml:space="preserve">El Monte 1.81</w:t>
      </w:r>
      <w:r>
        <w:br/>
      </w:r>
      <w:r>
        <w:t xml:space="preserve">Las Condes 1.93</w:t>
      </w:r>
      <w:r>
        <w:br/>
      </w:r>
      <w:r>
        <w:t xml:space="preserve">San Miguel 2.04</w:t>
      </w:r>
    </w:p>
    <w:bookmarkEnd w:id="29"/>
    <w:bookmarkEnd w:id="30"/>
    <w:bookmarkStart w:id="31"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2021-10-28T19:25:33Z</dcterms:created>
  <dcterms:modified xsi:type="dcterms:W3CDTF">2021-10-28T19:25:33Z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