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 xml:space="preserve">EIM-PROVA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/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/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Nou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ANALITZADOR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Prova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contracte: Prova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sz w:val="14"/>
          <w:szCs w:val="14"/>
        </w:rPr>
        <w:t xml:space="preserve">Hola que tal,
</w:t>
        <w:br/>
        <w:t xml:space="preserve">{{descripcio.desc_img_0}}
</w:t>
        <w:br/>
        <w:t xml:space="preserve">
</w:t>
        <w:br/>
        <w:t xml:space="preserve">Esto es una prueba de imagenes
</w:t>
        <w:br/>
        <w:t xml:space="preserve">{{descripcio.desc_img_1}}</w:t>
      </w:r>
    </w:p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3"/>
      <w:gridCol w:w="3574"/>
      <w:gridCol w:w="1555"/>
      <w:gridCol w:w="1146"/>
      <w:gridCol w:w="681"/>
      <w:gridCol w:w="1422"/>
    </w:tblGrid>
    <w:tr>
      <w:trPr>
        <w:trHeight w:val="286" w:hRule="atLeast"/>
      </w:trPr>
      <w:tc>
        <w:tcPr>
          <w:tcW w:w="324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EIM-PROVA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28/03/2017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6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2</Pages>
  <Words>310</Words>
  <Characters>3827</Characters>
  <CharactersWithSpaces>3945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2023-10-05T11:16:49Z</dcterms:modified>
  <cp:revision>50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