
<file path=[Content_Types].xml><?xml version="1.0" encoding="utf-8"?>
<Types xmlns="http://schemas.openxmlformats.org/package/2006/content-types">
  <Default Extension="wmf" ContentType="image/x-wmf"/>
  <Default Extension="bin" ContentType="application/vnd.openxmlformats-officedocument.oleObject"/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76" w:before="0" w:after="0"/>
        <w:ind w:right="0" w:firstLine="0"/>
        <w:rPr>
          <w:spacing w:val="0"/>
          <w:color w:val="000000"/>
          <w:position w:val="0"/>
          <w:sz w:val="48"/>
          <w:szCs w:val="48"/>
          <w:u w:val="single"/>
          <w:shd w:val="clear" w:fill="FFFFFF"/>
          <w:rFonts w:ascii="Arial" w:eastAsia="Arial" w:hAnsi="Arial" w:hint="default"/>
        </w:rPr>
        <w:autoSpaceDE w:val="1"/>
        <w:autoSpaceDN w:val="1"/>
      </w:pPr>
      <w:r>
        <w:rPr>
          <w:spacing w:val="0"/>
          <w:color w:val="000000"/>
          <w:position w:val="0"/>
          <w:sz w:val="48"/>
          <w:szCs w:val="48"/>
          <w:u w:val="single"/>
          <w:shd w:val="clear" w:fill="FFFFFF"/>
          <w:rFonts w:ascii="Arial Unicode MS" w:eastAsia="Arial Unicode MS" w:hAnsi="Arial Unicode MS" w:hint="default"/>
        </w:rPr>
        <w:t xml:space="preserve">『2017 IoT 아이디어 공모전』</w:t>
      </w:r>
    </w:p>
    <w:p>
      <w:pPr>
        <w:numPr>
          <w:ilvl w:val="0"/>
          <w:numId w:val="0"/>
        </w:numPr>
        <w:jc w:val="center"/>
        <w:spacing w:lineRule="auto" w:line="276" w:before="0" w:after="0"/>
        <w:ind w:right="0" w:firstLine="0"/>
        <w:rPr>
          <w:spacing w:val="0"/>
          <w:color w:val="000000"/>
          <w:position w:val="0"/>
          <w:sz w:val="64"/>
          <w:szCs w:val="64"/>
          <w:u w:val="single"/>
          <w:shd w:val="clear" w:fill="FFFFFF"/>
          <w:rFonts w:ascii="Arial" w:eastAsia="Arial" w:hAnsi="Arial" w:hint="default"/>
        </w:rPr>
        <w:autoSpaceDE w:val="1"/>
        <w:autoSpaceDN w:val="1"/>
      </w:pPr>
      <w:r>
        <w:rPr>
          <w:spacing w:val="0"/>
          <w:color w:val="000000"/>
          <w:position w:val="0"/>
          <w:sz w:val="64"/>
          <w:szCs w:val="64"/>
          <w:u w:val="single"/>
          <w:shd w:val="clear" w:fill="FFFFFF"/>
          <w:rFonts w:ascii="Arial Unicode MS" w:eastAsia="Arial Unicode MS" w:hAnsi="Arial Unicode MS" w:hint="default"/>
        </w:rPr>
        <w:t xml:space="preserve">참 가 신 청 서</w:t>
      </w:r>
    </w:p>
    <w:p>
      <w:pPr>
        <w:numPr>
          <w:ilvl w:val="0"/>
          <w:numId w:val="0"/>
        </w:numPr>
        <w:jc w:val="center"/>
        <w:spacing w:lineRule="auto" w:line="276" w:before="0" w:after="0"/>
        <w:ind w:right="0" w:firstLine="0"/>
        <w:rPr>
          <w:spacing w:val="0"/>
          <w:color w:val="000000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spacing w:val="0"/>
          <w:color w:val="000000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autoSpaceDE w:val="1"/>
        <w:autoSpaceDN w:val="1"/>
      </w:pPr>
      <w:r>
        <w:rPr>
          <w:spacing w:val="0"/>
          <w:color w:val="000000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center"/>
        <w:spacing w:lineRule="auto" w:line="276" w:before="0" w:after="0"/>
        <w:ind w:right="0" w:firstLine="0"/>
        <w:rPr>
          <w:spacing w:val="0"/>
          <w:b w:val="1"/>
          <w:color w:val="000000"/>
          <w:position w:val="0"/>
          <w:sz w:val="48"/>
          <w:szCs w:val="48"/>
          <w:u w:val="single"/>
          <w:shd w:val="clear" w:fill="FFFFFF"/>
          <w:rFonts w:ascii="Arial" w:eastAsia="Arial" w:hAnsi="Arial" w:hint="default"/>
        </w:rPr>
        <w:autoSpaceDE w:val="1"/>
        <w:autoSpaceDN w:val="1"/>
      </w:pPr>
      <w:r>
        <w:rPr>
          <w:spacing w:val="0"/>
          <w:b w:val="1"/>
          <w:color w:val="000000"/>
          <w:position w:val="0"/>
          <w:sz w:val="48"/>
          <w:szCs w:val="48"/>
          <w:u w:val="single"/>
          <w:shd w:val="clear" w:fill="FFFFFF"/>
          <w:rFonts w:ascii="Arial Unicode MS" w:eastAsia="Arial Unicode MS" w:hAnsi="Arial Unicode MS" w:hint="default"/>
        </w:rPr>
        <w:t xml:space="preserve">선 린 인 터 넷 고 등 학 교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1545"/>
        <w:gridCol w:w="7320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886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0" w:type="dxa"/>
              <w:right w:w="100" w:type="dxa"/>
            </w:tcMar>
            <w:vAlign w:val="center"/>
            <w:gridSpan w:val="2"/>
            <w:tcBorders>
              <w:bottom w:val="single" w:color="000000" w:sz="15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32"/>
                <w:szCs w:val="32"/>
                <w:u w:val="single"/>
                <w:rFonts w:ascii="Arial Unicode MS" w:eastAsia="Arial Unicode MS" w:hAnsi="Arial Unicode MS" w:hint="default"/>
              </w:rPr>
              <w:t xml:space="preserve">아이디어 기획서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54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20" w:type="dxa"/>
              <w:right w:w="20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15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4"/>
                <w:szCs w:val="24"/>
                <w:u w:val="single"/>
                <w:shd w:val="clear" w:fill="FFFFFF"/>
                <w:rFonts w:ascii="Arial Unicode MS" w:eastAsia="Arial Unicode MS" w:hAnsi="Arial Unicode MS" w:hint="default"/>
              </w:rPr>
              <w:t>팀명</w:t>
            </w:r>
          </w:p>
        </w:tc>
        <w:tc>
          <w:tcPr>
            <w:tcW w:type="dxa" w:w="73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20" w:type="dxa"/>
              <w:right w:w="20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15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4"/>
                <w:szCs w:val="24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짜빠게티인줄 알았는데 짜왕이네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5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0" w:type="dxa"/>
              <w:right w:w="100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rFonts w:ascii="Arial Unicode MS" w:eastAsia="Arial Unicode MS" w:hAnsi="Arial Unicode MS" w:hint="default"/>
              </w:rPr>
              <w:t>주제</w:t>
            </w:r>
          </w:p>
        </w:tc>
        <w:tc>
          <w:tcPr>
            <w:tcW w:type="dxa" w:w="73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0" w:type="dxa"/>
              <w:right w:w="100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4"/>
                <w:szCs w:val="24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홍수로부터 당신을 지켜주는 “포세이돈트 솔루션”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54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0" w:type="dxa"/>
              <w:right w:w="100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rFonts w:ascii="Arial" w:eastAsia="Arial" w:hAnsi="Arial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rFonts w:ascii="Arial Unicode MS" w:eastAsia="Arial Unicode MS" w:hAnsi="Arial Unicode MS" w:hint="default"/>
              </w:rPr>
              <w:t>내용</w:t>
            </w:r>
          </w:p>
        </w:tc>
        <w:tc>
          <w:tcPr>
            <w:tcW w:type="dxa" w:w="73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0" w:type="dxa"/>
              <w:right w:w="10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b w:val="1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Segoe UI Symbol" w:eastAsia="Segoe UI Symbol" w:hAnsi="Segoe UI Symbol" w:hint="default"/>
              </w:rPr>
              <w:t>◽</w:t>
            </w:r>
            <w:r>
              <w:rPr>
                <w:spacing w:val="0"/>
                <w:b w:val="1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>팀원역할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송영범: 2017년 중부권 폭우사건에 충격을 받아 “포세이돈트 솔루션”의 </w:t>
            </w:r>
            <w:r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큰틀을 기획하였으며 기획서 작성과 3D프린터를 이용한 프레임 제작을 맡고 </w:t>
            </w:r>
            <w:r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 Unicode MS" w:eastAsia="Arial Unicode MS" w:hAnsi="Arial Unicode MS" w:hint="default"/>
              </w:rPr>
              <w:t>있습니다.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김예현: “포세이돈트 솔루션”의 부가기능들을 기획하였으며 기획서 작성 </w:t>
            </w:r>
            <w:r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및 기타 업무를 맡고 있습니다.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한지윤: 개발자로 아두이노 개발 및 프로그래밍을 맡고 있으며 기획서 </w:t>
            </w:r>
            <w:r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작성시 기술적인 부분에 고문을 맡았습니다.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b w:val="1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Segoe UI Symbol" w:eastAsia="Segoe UI Symbol" w:hAnsi="Segoe UI Symbol" w:hint="default"/>
              </w:rPr>
              <w:t>◽</w:t>
            </w:r>
            <w:r>
              <w:rPr>
                <w:spacing w:val="0"/>
                <w:b w:val="1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>세부일정서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10월 4, 5주차: 시제품 하드웨어 개발 및 소프트웨어 개발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11월 1주차: 제품 프레임 개발 및 방수 테스트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11월 2주차: 시제품 테스트 및 오류 수정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11월 3주차: 최종 시제품 개발 완료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b w:val="1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Segoe UI Symbol" w:eastAsia="Segoe UI Symbol" w:hAnsi="Segoe UI Symbol" w:hint="default"/>
              </w:rPr>
              <w:t>◽</w:t>
            </w:r>
            <w:r>
              <w:rPr>
                <w:spacing w:val="0"/>
                <w:b w:val="1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>필요재료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아두이노 호환보드, HC-06 BT 모듈, 캐릭터 LCD, 부저, 고출력 LED, 물 </w:t>
            </w:r>
            <w:r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감지센서 , LI-ion 배터리, 배터리 충전기, 3D프린터, 저항 다수, 전선 </w:t>
            </w:r>
            <w:r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다수 등 아두이노용 제품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b w:val="1"/>
                <w:color w:val="000000"/>
                <w:position w:val="0"/>
                <w:sz w:val="24"/>
                <w:szCs w:val="24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000000"/>
                <w:position w:val="0"/>
                <w:sz w:val="24"/>
                <w:szCs w:val="24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1. 문제인식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rFonts w:ascii="Arial Unicode MS" w:eastAsia="Arial Unicode MS" w:hAnsi="Arial Unicode MS" w:hint="default"/>
              </w:rPr>
              <w:t xml:space="preserve">지구온난화에 의한 엘니뇨 현상으로 최근 집중 호우의 빈도와 강도가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rFonts w:ascii="Arial Unicode MS" w:eastAsia="Arial Unicode MS" w:hAnsi="Arial Unicode MS" w:hint="default"/>
              </w:rPr>
              <w:t xml:space="preserve">꾸준히 증가해 가고 있으며 그에 따라 홍수 피해도 증가하고 있다.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rFonts w:ascii="Arial Unicode MS" w:eastAsia="Arial Unicode MS" w:hAnsi="Arial Unicode MS" w:hint="default"/>
              </w:rPr>
              <w:t xml:space="preserve">이를 극적으로 보여준 것이 2017년 중부권 폭우 사태로 수많은 인명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rFonts w:ascii="Arial Unicode MS" w:eastAsia="Arial Unicode MS" w:hAnsi="Arial Unicode MS" w:hint="default"/>
              </w:rPr>
              <w:t xml:space="preserve">피해와 재산 피해가 발생하였다. 특히 전체 가구의 2.55%를 차지하는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rFonts w:ascii="Arial Unicode MS" w:eastAsia="Arial Unicode MS" w:hAnsi="Arial Unicode MS" w:hint="default"/>
              </w:rPr>
              <w:t xml:space="preserve">반지하 주택의 경우 침수에 매우 취약하며, 물이  차오른 후 누전된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rFonts w:ascii="Arial Unicode MS" w:eastAsia="Arial Unicode MS" w:hAnsi="Arial Unicode MS" w:hint="default"/>
              </w:rPr>
              <w:t xml:space="preserve">전기로 인하여 감전되어 쓰러져 익사하는 사례가 더 흔할 정도로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rFonts w:ascii="Arial Unicode MS" w:eastAsia="Arial Unicode MS" w:hAnsi="Arial Unicode MS" w:hint="default"/>
              </w:rPr>
              <w:t xml:space="preserve">침수시 감전사고도 매우 문제가 되고 있다. 위에서 서술한 중부권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rFonts w:ascii="Arial Unicode MS" w:eastAsia="Arial Unicode MS" w:hAnsi="Arial Unicode MS" w:hint="default"/>
              </w:rPr>
              <w:t xml:space="preserve">폭우사태에서 반지하의 거주하는 노인이 익사했으며, 이는 반지하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rFonts w:ascii="Arial Unicode MS" w:eastAsia="Arial Unicode MS" w:hAnsi="Arial Unicode MS" w:hint="default"/>
              </w:rPr>
              <w:t xml:space="preserve">주택 같은 저지대의 경우 물이 위에서 아래로 내려오기 때문에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rFonts w:ascii="Arial Unicode MS" w:eastAsia="Arial Unicode MS" w:hAnsi="Arial Unicode MS" w:hint="default"/>
              </w:rPr>
              <w:t xml:space="preserve">대피할 여유가 부족하다는 문제를 그대로 보여주고 있다. 대부분의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rFonts w:ascii="Arial Unicode MS" w:eastAsia="Arial Unicode MS" w:hAnsi="Arial Unicode MS" w:hint="default"/>
              </w:rPr>
              <w:t xml:space="preserve">침수피해는 늦은 밤과 새벽에 일어나 대처가 힘들어 더욱 문제가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rFonts w:ascii="Arial Unicode MS" w:eastAsia="Arial Unicode MS" w:hAnsi="Arial Unicode MS" w:hint="default"/>
              </w:rPr>
              <w:t xml:space="preserve">되고 있다. 이를 대비하기 위해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긴급 재난 문자가 서비스 중이지만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오보와 느린 대응으로 문제를 안고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b w:val="1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z w:val="20"/>
              </w:rPr>
              <w:obj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" type="#_x0000_t75" style="position:static;width:341.2pt;height:192.9pt;z-index:251624961" o:ole="" filled="t">
                  <v:imagedata r:id="rId5" o:title=" "/>
                  <w10:wrap type="none"/>
                  <w10:anchorlock/>
                </v:shape>
                <o:OLEObject Type="Embed" ShapeID="_x0000_s10" DrawAspect="Content" ObjectID="10" ProgID="Package" r:id="rId6"/>
              </w:objec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z w:val="20"/>
              </w:rPr>
              <w:obj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" type="#_x0000_t75" style="position:static;width:341.2pt;height:101.7pt;z-index:251624962" o:ole="" filled="t">
                  <v:imagedata r:id="rId7" o:title=" "/>
                  <w10:wrap type="none"/>
                  <w10:anchorlock/>
                </v:shape>
                <o:OLEObject Type="Embed" ShapeID="_x0000_s11" DrawAspect="Content" ObjectID="11" ProgID="Package" r:id="rId8"/>
              </w:objec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b w:val="1"/>
                <w:color w:val="000000"/>
                <w:position w:val="0"/>
                <w:sz w:val="26"/>
                <w:szCs w:val="26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000000"/>
                <w:position w:val="0"/>
                <w:sz w:val="24"/>
                <w:szCs w:val="24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2. 솔루션 상세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‘포세이돈트 솔루션’은 “포세이돈 + Don`t의 줄임말로 포세이돈도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해결 하지 못 할 침수 문제를 해결한다.”는 의미이다. 반지하 혹은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지하주택에 거주하는 침수 취약 계층을 위한 솔루션으로 상습 침수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지역에 ‘침수 측정 단말기’를 설치하여 침수 위험을 감지하고 침수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위험 정도에 따라 ‘가정용 침수 알림 단말기’를 통해 경고 및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대피요령을 방송한다. 그리고 위험도에 따라 전기 사고 예방을 위해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전력 차단을 하며 반지하 같은 시야 확보가 어려운 공간에서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비상등을 점멸하여 시야 확보를 돕는다. 그리고 보다 높은 정확도를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위해 기상청의 강우량과 침수 정보 등을 이용하여 지역별로 각기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다른 강수량과 그에 따른 위험도를 다르게 책정하며, 단계별로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나누어 체계적인 경보를 한다. 통신망으로는 LoRa를 사용하였으며,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LoRa는 Long Range에 특화된 저전력, 저비용의 장거리 통신에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장점을 가지고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b w:val="1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-  가정용 단말기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가정용 단말기는 네트워크 모뎀, 비상등, 메인보드, 배터리로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구성되어 있으며 본체는 방수 기능을 가지고 있다. 네트워크 모뎀을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통해 기상특보와 침수 정보를 전송받아 경보 등급을 확인하고 경보를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올려준다. 전력 차단기와 연결되어 전기를 공급받아 작동되며, 정전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및 침수 상황에서 감전 사고나 누전 사고를 방지하기 위해 가정 내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모든 전력을 차단한 후 충전해둔 비상용 배터리의 전력을 이용하여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알림 및 정상 작동시킨다. 또한 전력 차단과 동시에 비상등이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점멸되어 시야 확보를  도와 빠르고 안전한 대피를 유도한다.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측정 결과값에 따라 총 3단계의 경보가 작동한다.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1단계 –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차임을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울린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후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현재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강수량과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위험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사태를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알림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2단계 –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보다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높은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음량으로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5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초간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사이렌이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울린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후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깜박이는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불빛과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함께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대피요령을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알림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3단계 –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가정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내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모든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전력을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차단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후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비상등을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점멸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,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사이렌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대피요령을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계속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맑은 고딕" w:eastAsia="맑은 고딕" w:hAnsi="맑은 고딕" w:hint="default"/>
              </w:rPr>
              <w:t>반복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b w:val="1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- 침수 측정 단말기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침수 측정 단말기는 고성능 네트워크 모뎀, 침수 감지 센서,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메인보드로 구성되어 있으며 네트워크 단말기는 기상청과 통신이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가능하다. 또한 3단계의 침수 감지 센서로 정확하고 체계적인 침수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정보를 측정하며, 이 제품 또한 방수 기능을 가지고 있으며 홍수시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제품의 손상을 막기 위해 견고하게 제작되었다. 전기 절약을 위해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평상시는 태양광 패널을 통해 전력을 생산하며, 비가 오는 날에는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외부 전원과 비상용 배터리를 이용해 작동된다.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z w:val="20"/>
              </w:rPr>
              <w:obj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2" type="#_x0000_t75" style="position:static;width:341.2pt;height:197.7pt;z-index:251624963" o:ole="" filled="t">
                  <v:imagedata r:id="rId9" o:title=" "/>
                  <w10:wrap type="none"/>
                  <w10:anchorlock/>
                </v:shape>
                <o:OLEObject Type="Embed" ShapeID="_x0000_s12" DrawAspect="Content" ObjectID="12" ProgID="Package" r:id="rId10"/>
              </w:objec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b w:val="1"/>
                <w:color w:val="000000"/>
                <w:position w:val="0"/>
                <w:sz w:val="24"/>
                <w:szCs w:val="24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000000"/>
                <w:position w:val="0"/>
                <w:sz w:val="24"/>
                <w:szCs w:val="24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- 시제품 제작 방안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아두이노를 기반으로 하여 시제품을 제작할 예정이며 아두이노와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호환되는 다양한 모듈과 센서를 사용하여 최대한 기획과 동일한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기능을 가지도록 제작할 예정이다. 데이터 교환은 LoRa 네트워크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기술을 사용하기로 기획했지만 테스트 기간을 줄이고 빠르고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안정적인 시제품 제작을 위해 블루투스를 선택했으며 프레임은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3D프린터를 사용하여 제작하고 실리콘 방수 패킹을 사용하여 방수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기능을 구현할 것이다.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b w:val="1"/>
                <w:color w:val="000000"/>
                <w:position w:val="0"/>
                <w:sz w:val="24"/>
                <w:szCs w:val="24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000000"/>
                <w:position w:val="0"/>
                <w:sz w:val="24"/>
                <w:szCs w:val="24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3. 기대효과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b w:val="1"/>
                <w:color w:val="000000"/>
                <w:position w:val="0"/>
                <w:sz w:val="24"/>
                <w:szCs w:val="24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b w:val="1"/>
                <w:color w:val="000000"/>
                <w:position w:val="0"/>
                <w:sz w:val="24"/>
                <w:szCs w:val="24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000000"/>
                <w:position w:val="0"/>
                <w:sz w:val="24"/>
                <w:szCs w:val="24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- 안정성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‘포세이돈트 솔루션’은 한 통신기당 연결 단말 수가 적어 제어가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쉽고 안정적이며, 아두이노를 기반으로 하였기 때문에 굉장히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저렴하게 제작이 가능하다. 또 기존 긴급 재난 문자와 달리 지역이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좁기 때문에 더 안정적이고 그 지역의 강우량이나 침수 정보를 더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빠르고 정확한 정보를 쉽게 받아들일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b w:val="1"/>
                <w:color w:val="000000"/>
                <w:position w:val="0"/>
                <w:sz w:val="24"/>
                <w:szCs w:val="24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000000"/>
                <w:position w:val="0"/>
                <w:sz w:val="24"/>
                <w:szCs w:val="24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- 사고예방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긴급 재난 문자보다 신속한 침수 알림 경보를 제공하여 지금까지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사회안전망에 보호받지 못했던 인명, 재산을 보호하고 피해를 예방할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수 있으며, 침수 위험도에 따라 전력을 차단하여 주기 때문에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감전으로 인한 사고를 막을 수 있고 비상등을 점멸하여 시야 확보가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어려운 반지하에서의 시야 확보를 돕는다. 또한 대피요령 방송과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사이렌 통해 빠른 대처 및 대피를 유도해낼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b w:val="1"/>
                <w:color w:val="000000"/>
                <w:position w:val="0"/>
                <w:sz w:val="24"/>
                <w:szCs w:val="24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000000"/>
                <w:position w:val="0"/>
                <w:sz w:val="24"/>
                <w:szCs w:val="24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- 데이터 수집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또한 침수 감지 센서를 전국 각지 취약지역에 설치하고 측정하여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강수량, 호우, 침수 등의 대한 방대한 데이터를 수집할 수 있다.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또한, 이 데이터베이스를 바탕으로 국가적 차원에서 홍수 방지책을 </w:t>
            </w:r>
            <w:r>
              <w:rPr>
                <w:spacing w:val="0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내놓을 수 있는 기틀이 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000000"/>
                <w:position w:val="0"/>
                <w:sz w:val="22"/>
                <w:szCs w:val="22"/>
                <w:u w:val="single"/>
                <w:shd w:val="clear" w:fill="FFFFFF"/>
                <w:rFonts w:ascii="Arial Unicode MS" w:eastAsia="Arial Unicode MS" w:hAnsi="Arial Unicode MS" w:hint="default"/>
              </w:rPr>
              <w:t>&lt;참고자료&gt;</w:t>
            </w:r>
          </w:p>
          <w:p>
            <w:pPr>
              <w:numPr>
                <w:ilvl w:val="0"/>
                <w:numId w:val="18"/>
              </w:numPr>
              <w:jc w:val="both"/>
              <w:spacing w:lineRule="auto" w:line="276" w:before="0" w:after="0"/>
              <w:ind w:left="720" w:right="0" w:hanging="360"/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국토연구부 2014 주거실태조사</w:t>
            </w:r>
          </w:p>
          <w:p>
            <w:pPr>
              <w:numPr>
                <w:ilvl w:val="0"/>
                <w:numId w:val="18"/>
              </w:numPr>
              <w:jc w:val="both"/>
              <w:spacing w:lineRule="auto" w:line="276" w:before="0" w:after="0"/>
              <w:ind w:left="720" w:right="0" w:hanging="360"/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 Unicode MS" w:eastAsia="Arial Unicode MS" w:hAnsi="Arial Unicode MS" w:hint="default"/>
              </w:rPr>
              <w:t xml:space="preserve">환경부 2011 침수대응 하수도 시뮬레이션 가이드라인 연구</w:t>
            </w:r>
          </w:p>
          <w:p>
            <w:pPr>
              <w:numPr>
                <w:ilvl w:val="0"/>
                <w:numId w:val="18"/>
              </w:numPr>
              <w:jc w:val="both"/>
              <w:spacing w:lineRule="auto" w:line="276" w:before="0" w:after="0"/>
              <w:ind w:left="720" w:right="0" w:hanging="360"/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hyperlink r:id="rId11">
              <w:r>
                <w:rPr>
                  <w:spacing w:val="0"/>
                  <w:color w:val="000000"/>
                  <w:position w:val="0"/>
                  <w:sz w:val="20"/>
                  <w:szCs w:val="20"/>
                  <w:u w:val="single"/>
                  <w:shd w:val="clear" w:fill="FFFFFF"/>
                  <w:rFonts w:ascii="Arial" w:eastAsia="Arial" w:hAnsi="Arial" w:hint="default"/>
                </w:rPr>
                <w:t>http://news.sbs.co.kr/news/endPage.do?news_id=N1002470037</w:t>
              </w:r>
            </w:hyperlink>
          </w:p>
          <w:p>
            <w:pPr>
              <w:numPr>
                <w:ilvl w:val="0"/>
                <w:numId w:val="18"/>
              </w:numPr>
              <w:jc w:val="both"/>
              <w:spacing w:lineRule="auto" w:line="276" w:before="0" w:after="0"/>
              <w:ind w:left="720" w:right="0" w:hanging="360"/>
              <w:rPr>
                <w:spacing w:val="0"/>
                <w:color w:val="000000"/>
                <w:position w:val="0"/>
                <w:sz w:val="20"/>
                <w:szCs w:val="20"/>
                <w:u w:val="single"/>
                <w:shd w:val="clear" w:fill="FFFFFF"/>
                <w:rFonts w:ascii="Arial" w:eastAsia="Arial" w:hAnsi="Arial" w:hint="default"/>
              </w:rPr>
              <w:autoSpaceDE w:val="1"/>
              <w:autoSpaceDN w:val="1"/>
            </w:pPr>
            <w:hyperlink r:id="rId12">
              <w:r>
                <w:rPr>
                  <w:spacing w:val="0"/>
                  <w:color w:val="000000"/>
                  <w:position w:val="0"/>
                  <w:sz w:val="20"/>
                  <w:szCs w:val="20"/>
                  <w:u w:val="single"/>
                  <w:shd w:val="clear" w:fill="FFFFFF"/>
                  <w:rFonts w:ascii="Arial" w:eastAsia="Arial" w:hAnsi="Arial" w:hint="default"/>
                </w:rPr>
                <w:t>http://news.sbs.co.kr/news/endPage.do?news_id=N1001330853</w:t>
              </w:r>
            </w:hyperlink>
          </w:p>
          <w:p>
            <w:pPr>
              <w:numPr>
                <w:ilvl w:val="0"/>
                <w:numId w:val="18"/>
              </w:numPr>
              <w:jc w:val="both"/>
              <w:spacing w:lineRule="auto" w:line="276" w:before="0" w:after="0"/>
              <w:ind w:left="720" w:right="0" w:hanging="36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hyperlink r:id="rId13">
              <w:r>
                <w:rPr>
                  <w:spacing w:val="0"/>
                  <w:color w:val="000000"/>
                  <w:position w:val="0"/>
                  <w:sz w:val="20"/>
                  <w:szCs w:val="20"/>
                  <w:u w:val="single"/>
                  <w:shd w:val="clear" w:fill="FFFFFF"/>
                  <w:rFonts w:ascii="Arial" w:eastAsia="Arial" w:hAnsi="Arial" w:hint="default"/>
                </w:rPr>
                <w:t>https://mn.kbs.co.kr/news/view.do?ncd=3339504</w:t>
              </w:r>
            </w:hyperlink>
          </w:p>
        </w:tc>
      </w:tr>
    </w:tbl>
    <w:p>
      <w:pPr>
        <w:numPr>
          <w:ilvl w:val="0"/>
          <w:numId w:val="0"/>
        </w:numPr>
        <w:jc w:val="left"/>
        <w:spacing w:lineRule="auto" w:line="276" w:before="0" w:after="0"/>
        <w:ind w:right="0" w:firstLine="0"/>
        <w:rPr>
          <w:spacing w:val="0"/>
          <w:color w:val="000000"/>
          <w:position w:val="0"/>
          <w:sz w:val="22"/>
          <w:szCs w:val="22"/>
          <w:u w:val="single"/>
          <w:rFonts w:ascii="Arial" w:eastAsia="Arial" w:hAnsi="Arial" w:hint="default"/>
        </w:rPr>
        <w:autoSpaceDE w:val="1"/>
        <w:autoSpaceDN w:val="1"/>
      </w:pPr>
    </w:p>
    <w:sect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UI Symbo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both"/>
      <w:numFmt w:val="bullet"/>
      <w:start w:val="1"/>
      <w:suff w:val="tab"/>
      <w:lvlText w:val="•"/>
    </w:lvl>
    <w:lvl w:ilvl="1">
      <w:lvlJc w:val="both"/>
      <w:numFmt w:val="bullet"/>
      <w:start w:val="1"/>
      <w:suff w:val="tab"/>
      <w:lvlText w:val="•"/>
    </w:lvl>
    <w:lvl w:ilvl="2">
      <w:lvlJc w:val="both"/>
      <w:numFmt w:val="bullet"/>
      <w:start w:val="1"/>
      <w:suff w:val="tab"/>
      <w:lvlText w:val="•"/>
    </w:lvl>
    <w:lvl w:ilvl="3">
      <w:lvlJc w:val="both"/>
      <w:numFmt w:val="bullet"/>
      <w:start w:val="1"/>
      <w:suff w:val="tab"/>
      <w:lvlText w:val="•"/>
    </w:lvl>
    <w:lvl w:ilvl="4">
      <w:lvlJc w:val="both"/>
      <w:numFmt w:val="bullet"/>
      <w:start w:val="1"/>
      <w:suff w:val="tab"/>
      <w:lvlText w:val="•"/>
    </w:lvl>
    <w:lvl w:ilvl="5">
      <w:lvlJc w:val="both"/>
      <w:numFmt w:val="bullet"/>
      <w:start w:val="1"/>
      <w:suff w:val="tab"/>
      <w:lvlText w:val="•"/>
    </w:lvl>
    <w:lvl w:ilvl="6">
      <w:lvlJc w:val="both"/>
      <w:numFmt w:val="bullet"/>
      <w:start w:val="1"/>
      <w:suff w:val="tab"/>
      <w:lvlText w:val="•"/>
    </w:lvl>
    <w:lvl w:ilvl="7">
      <w:lvlJc w:val="both"/>
      <w:numFmt w:val="bullet"/>
      <w:start w:val="1"/>
      <w:suff w:val="tab"/>
      <w:lvlText w:val="•"/>
    </w:lvl>
    <w:lvl w:ilvl="8">
      <w:lvlJc w:val="both"/>
      <w:numFmt w:val="bullet"/>
      <w:start w:val="1"/>
      <w:suff w:val="tab"/>
      <w:lvlText w:val="•"/>
    </w:lvl>
  </w:abstract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0.wmf"></Relationship><Relationship Id="rId6" Type="http://schemas.openxmlformats.org/officeDocument/2006/relationships/oleObject" Target="embeddings/oleObject0.bin"></Relationship><Relationship Id="rId7" Type="http://schemas.openxmlformats.org/officeDocument/2006/relationships/image" Target="media/image1.wmf"></Relationship><Relationship Id="rId8" Type="http://schemas.openxmlformats.org/officeDocument/2006/relationships/oleObject" Target="embeddings/oleObject1.bin"></Relationship><Relationship Id="rId9" Type="http://schemas.openxmlformats.org/officeDocument/2006/relationships/image" Target="media/image2.wmf"></Relationship><Relationship Id="rId10" Type="http://schemas.openxmlformats.org/officeDocument/2006/relationships/oleObject" Target="embeddings/oleObject2.bin"></Relationship><Relationship Id="rId11" Type="http://schemas.openxmlformats.org/officeDocument/2006/relationships/hyperlink" Target="http://news.sbs.co.kr/news/endPage.do?news_id=N1002470037" TargetMode="External"></Relationship><Relationship Id="rId12" Type="http://schemas.openxmlformats.org/officeDocument/2006/relationships/hyperlink" Target="http://news.sbs.co.kr/news/endPage.do?news_id=N1001330853" TargetMode="External"></Relationship><Relationship Id="rId13" Type="http://schemas.openxmlformats.org/officeDocument/2006/relationships/hyperlink" Target="https://mn.kbs.co.kr/news/view.do?ncd=3339504" TargetMode="External"></Relationship><Relationship Id="rId14" Type="http://schemas.openxmlformats.org/officeDocument/2006/relationships/numbering" Target="numbering.xml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