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2BF5" w14:textId="7043740C" w:rsidR="00EE0B7B" w:rsidRPr="00DA72CE" w:rsidRDefault="00EE0B7B" w:rsidP="00EE0B7B">
      <w:pPr>
        <w:pStyle w:val="Default"/>
        <w:jc w:val="center"/>
        <w:rPr>
          <w:rFonts w:asciiTheme="minorHAnsi" w:hAnsiTheme="minorHAnsi" w:cs="Calibri"/>
          <w:b/>
          <w:bCs/>
          <w:sz w:val="16"/>
          <w:szCs w:val="16"/>
        </w:rPr>
      </w:pPr>
      <w:r w:rsidRPr="00DA72CE">
        <w:rPr>
          <w:rFonts w:asciiTheme="minorHAnsi" w:hAnsiTheme="minorHAnsi" w:cs="Calibri"/>
          <w:b/>
          <w:bCs/>
          <w:sz w:val="16"/>
          <w:szCs w:val="16"/>
        </w:rPr>
        <w:t xml:space="preserve">PROPOSTA DE COMPRA E VENDA DE COTA/FRAÇÃO DE UNIDADE </w:t>
      </w:r>
      <w:r w:rsidR="006419FE">
        <w:rPr>
          <w:rFonts w:asciiTheme="minorHAnsi" w:hAnsiTheme="minorHAnsi" w:cs="Calibri"/>
          <w:b/>
          <w:bCs/>
          <w:sz w:val="16"/>
          <w:szCs w:val="16"/>
        </w:rPr>
        <w:t>AUTÔNOMAS FRACIONADAS</w:t>
      </w:r>
    </w:p>
    <w:p w14:paraId="3C8B0F1A" w14:textId="077930FF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b/>
          <w:bCs/>
          <w:sz w:val="16"/>
          <w:szCs w:val="16"/>
        </w:rPr>
        <w:t xml:space="preserve">EM REGIME DE MULTIPROPRIEDADE – EMPREENDIMENTO </w:t>
      </w:r>
      <w:r w:rsidR="00A97AC8" w:rsidRPr="00A97AC8">
        <w:rPr>
          <w:rFonts w:asciiTheme="minorHAnsi" w:hAnsiTheme="minorHAnsi"/>
          <w:b/>
          <w:bCs/>
          <w:sz w:val="16"/>
          <w:szCs w:val="16"/>
        </w:rPr>
        <w:t>PYRENÉUS RESIDENC</w:t>
      </w:r>
      <w:r w:rsidR="009E1481">
        <w:rPr>
          <w:rFonts w:asciiTheme="minorHAnsi" w:hAnsiTheme="minorHAnsi"/>
          <w:b/>
          <w:bCs/>
          <w:sz w:val="16"/>
          <w:szCs w:val="16"/>
        </w:rPr>
        <w:t>E</w:t>
      </w:r>
    </w:p>
    <w:p w14:paraId="3DCF1BA8" w14:textId="77777777" w:rsidR="00EE0B7B" w:rsidRPr="00DA72CE" w:rsidRDefault="00EE0B7B" w:rsidP="00EE0B7B">
      <w:pPr>
        <w:tabs>
          <w:tab w:val="left" w:pos="1701"/>
          <w:tab w:val="left" w:pos="7095"/>
        </w:tabs>
        <w:spacing w:line="240" w:lineRule="auto"/>
        <w:ind w:left="-142" w:right="-142" w:firstLine="278"/>
        <w:jc w:val="center"/>
        <w:rPr>
          <w:rFonts w:asciiTheme="minorHAnsi" w:hAnsiTheme="minorHAnsi"/>
          <w:sz w:val="16"/>
          <w:szCs w:val="16"/>
        </w:rPr>
      </w:pPr>
    </w:p>
    <w:p w14:paraId="4D64D33F" w14:textId="39CA434B" w:rsidR="00EE0B7B" w:rsidRPr="00DA72CE" w:rsidRDefault="00A97AC8" w:rsidP="00EE0B7B">
      <w:pPr>
        <w:spacing w:line="240" w:lineRule="auto"/>
        <w:ind w:left="-142" w:right="-142" w:firstLine="0"/>
        <w:jc w:val="both"/>
        <w:rPr>
          <w:rFonts w:asciiTheme="minorHAnsi" w:hAnsiTheme="minorHAnsi"/>
          <w:sz w:val="16"/>
          <w:szCs w:val="16"/>
        </w:rPr>
      </w:pPr>
      <w:r w:rsidRPr="00A97AC8">
        <w:rPr>
          <w:rFonts w:asciiTheme="minorHAnsi" w:hAnsiTheme="minorHAnsi"/>
          <w:sz w:val="16"/>
          <w:szCs w:val="16"/>
        </w:rPr>
        <w:t xml:space="preserve">Proponho à Empresa </w:t>
      </w:r>
      <w:r w:rsidRPr="00A97AC8">
        <w:rPr>
          <w:rFonts w:asciiTheme="minorHAnsi" w:hAnsiTheme="minorHAnsi"/>
          <w:b/>
          <w:bCs/>
          <w:sz w:val="16"/>
          <w:szCs w:val="16"/>
        </w:rPr>
        <w:t>GAV PIRENOPOLIS EMPREENDIMENTO IMOBILIARIO SPE LTDA</w:t>
      </w:r>
      <w:r w:rsidRPr="00A97AC8">
        <w:rPr>
          <w:rFonts w:asciiTheme="minorHAnsi" w:hAnsiTheme="minorHAnsi"/>
          <w:sz w:val="16"/>
          <w:szCs w:val="16"/>
        </w:rPr>
        <w:t xml:space="preserve">, Pessoa Jurídica de Direito Privado, inscrita no CNPJ sob o nº 38.083.842/0001-27, com sede na Rodovia Parque dos Pireneus, Quadra 01, Lote 01B, unidade 02, Chácara José Leite, Pirenópolis, Estado de Goiás, CEP: 72.980-000, doravante denominada simplesmente PROMITENTE VENDEDORA, a compra de uma Cota/Fração Imobiliária do Imóvel descrito abaixo, integrante do empreendimento </w:t>
      </w:r>
      <w:r w:rsidRPr="00A97AC8">
        <w:rPr>
          <w:rFonts w:asciiTheme="minorHAnsi" w:hAnsiTheme="minorHAnsi"/>
          <w:b/>
          <w:bCs/>
          <w:sz w:val="16"/>
          <w:szCs w:val="16"/>
        </w:rPr>
        <w:t>PYRENÉUS RESIDENCE</w:t>
      </w:r>
      <w:r w:rsidRPr="00A97AC8">
        <w:rPr>
          <w:rFonts w:asciiTheme="minorHAnsi" w:hAnsiTheme="minorHAnsi"/>
          <w:sz w:val="16"/>
          <w:szCs w:val="16"/>
        </w:rPr>
        <w:t xml:space="preserve">, o qual está sendo comercializado por meio do sistema de </w:t>
      </w:r>
      <w:proofErr w:type="spellStart"/>
      <w:r w:rsidRPr="00A97AC8">
        <w:rPr>
          <w:rFonts w:asciiTheme="minorHAnsi" w:hAnsiTheme="minorHAnsi"/>
          <w:sz w:val="16"/>
          <w:szCs w:val="16"/>
        </w:rPr>
        <w:t>multipropriedade</w:t>
      </w:r>
      <w:proofErr w:type="spellEnd"/>
      <w:r w:rsidRPr="00A97AC8">
        <w:rPr>
          <w:rFonts w:asciiTheme="minorHAnsi" w:hAnsiTheme="minorHAnsi"/>
          <w:sz w:val="16"/>
          <w:szCs w:val="16"/>
        </w:rPr>
        <w:t xml:space="preserve">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Pirenópolis/GO, sob </w:t>
      </w:r>
      <w:r w:rsidR="006419FE">
        <w:rPr>
          <w:rFonts w:asciiTheme="minorHAnsi" w:hAnsiTheme="minorHAnsi"/>
          <w:sz w:val="16"/>
          <w:szCs w:val="16"/>
        </w:rPr>
        <w:t>registro de incorporação</w:t>
      </w:r>
      <w:r w:rsidRPr="00A97AC8">
        <w:rPr>
          <w:rFonts w:asciiTheme="minorHAnsi" w:hAnsiTheme="minorHAnsi"/>
          <w:sz w:val="16"/>
          <w:szCs w:val="16"/>
        </w:rPr>
        <w:t xml:space="preserve"> nº R-</w:t>
      </w:r>
      <w:r w:rsidR="001F38C2">
        <w:rPr>
          <w:rFonts w:asciiTheme="minorHAnsi" w:hAnsiTheme="minorHAnsi"/>
          <w:sz w:val="16"/>
          <w:szCs w:val="16"/>
        </w:rPr>
        <w:t>3-</w:t>
      </w:r>
      <w:r w:rsidRPr="00A97AC8">
        <w:rPr>
          <w:rFonts w:asciiTheme="minorHAnsi" w:hAnsiTheme="minorHAnsi"/>
          <w:sz w:val="16"/>
          <w:szCs w:val="16"/>
        </w:rPr>
        <w:t>10.418, do livro 2-AZM, folhas 043.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0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0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2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3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4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5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6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7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8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9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0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1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2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3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5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6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7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8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19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0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1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2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22814788" w:rsidR="00593FF2" w:rsidRPr="00DA72CE" w:rsidRDefault="00593FF2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EMPREENDIMENTO: </w:t>
            </w:r>
            <w:r w:rsidR="00A97AC8" w:rsidRPr="00A97AC8">
              <w:rPr>
                <w:rFonts w:asciiTheme="minorHAnsi" w:hAnsiTheme="minorHAnsi"/>
                <w:b/>
                <w:bCs/>
                <w:sz w:val="16"/>
                <w:szCs w:val="16"/>
              </w:rPr>
              <w:t>PYRENÉUS RESIDENCE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3572AA0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PROPOSTA DE COMPRA E VENDA DE 01(UMA) COTA EM UNIDADE </w:t>
            </w:r>
            <w:r w:rsidR="006419FE">
              <w:rPr>
                <w:rFonts w:asciiTheme="minorHAnsi" w:hAnsiTheme="minorHAnsi" w:cs="Calibri"/>
                <w:sz w:val="16"/>
                <w:szCs w:val="16"/>
              </w:rPr>
              <w:t>AUTÔNOMA FRACIONADA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(APARTAMENTO) COMO SE DESCREVE;</w:t>
            </w:r>
          </w:p>
        </w:tc>
      </w:tr>
      <w:tr w:rsidR="00593FF2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6B125051" w:rsidR="00593FF2" w:rsidRPr="00DA72CE" w:rsidRDefault="00A97AC8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A97AC8">
              <w:rPr>
                <w:rFonts w:asciiTheme="minorHAnsi" w:hAnsiTheme="minorHAnsi"/>
                <w:sz w:val="16"/>
                <w:szCs w:val="16"/>
              </w:rPr>
              <w:t>PYRENÉUS RESIDENCE: Localização: O empreendimento será edificado no Quadra 01, Lote 01B, Unidade 02, situado no lugar denominado Chácara José Leite, município de Pirenópolis-GO, CEP: 72980-000.</w:t>
            </w:r>
          </w:p>
        </w:tc>
      </w:tr>
      <w:tr w:rsidR="00593FF2" w:rsidRPr="00DA72CE" w14:paraId="6D86A0BC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3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3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4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6"/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7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7"/>
          </w:p>
        </w:tc>
      </w:tr>
      <w:tr w:rsidR="00593FF2" w:rsidRPr="00DA72CE" w14:paraId="3E79EDC7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27240025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  <w:r w:rsidR="004A16D3">
              <w:rPr>
                <w:rFonts w:asciiTheme="minorHAnsi" w:hAnsiTheme="minorHAnsi" w:cs="Calibri"/>
                <w:sz w:val="16"/>
                <w:szCs w:val="16"/>
              </w:rPr>
              <w:t>PT</w:t>
            </w:r>
            <w:bookmarkStart w:id="28" w:name="_GoBack"/>
            <w:bookmarkEnd w:id="28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3AD369B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  <w:r w:rsidR="004A16D3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7C148772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  <w:r w:rsidR="004A16D3">
              <w:rPr>
                <w:rFonts w:asciiTheme="minorHAnsi" w:hAnsiTheme="minorHAnsi" w:cs="Calibri"/>
                <w:sz w:val="16"/>
                <w:szCs w:val="16"/>
              </w:rPr>
              <w:t>PT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439BC746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  <w:r w:rsidR="004A16D3">
              <w:rPr>
                <w:rFonts w:ascii="Calibri" w:hAnsi="Calibri" w:cs="Calibri"/>
                <w:sz w:val="16"/>
                <w:szCs w:val="16"/>
              </w:rPr>
              <w:t>Pasta técnica (PT)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23B0E1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377EC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4A16D3">
              <w:rPr>
                <w:rFonts w:ascii="Calibri" w:hAnsi="Calibri" w:cs="Calibri"/>
                <w:sz w:val="16"/>
                <w:szCs w:val="16"/>
              </w:rPr>
              <w:t>Pasta técnica (PT)</w:t>
            </w:r>
          </w:p>
        </w:tc>
      </w:tr>
      <w:tr w:rsidR="00593FF2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593FF2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593FF2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9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593FF2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30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</w:tr>
      <w:tr w:rsidR="00593FF2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1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2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3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4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</w:tr>
      <w:tr w:rsidR="00593FF2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5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6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7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8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8"/>
          </w:p>
        </w:tc>
      </w:tr>
      <w:tr w:rsidR="00593FF2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3A918D42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</w:t>
            </w:r>
            <w:r w:rsidRPr="00276F50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INCC-DI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Índice </w:t>
            </w:r>
            <w:r w:rsidR="003D0D7F">
              <w:rPr>
                <w:rFonts w:asciiTheme="minorHAnsi" w:hAnsiTheme="minorHAnsi" w:cs="Calibri"/>
                <w:sz w:val="16"/>
                <w:szCs w:val="16"/>
              </w:rPr>
              <w:t>Nacional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de Preços </w:t>
            </w:r>
            <w:r w:rsidR="003D0D7F">
              <w:rPr>
                <w:rFonts w:asciiTheme="minorHAnsi" w:hAnsiTheme="minorHAnsi" w:cs="Calibri"/>
                <w:sz w:val="16"/>
                <w:szCs w:val="16"/>
              </w:rPr>
              <w:t>ao Consumidor Amplo (</w:t>
            </w:r>
            <w:r w:rsidR="003D0D7F" w:rsidRPr="003D0D7F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IPCA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) + 1% (Um Por </w:t>
            </w:r>
            <w:r w:rsidRPr="00DB2361">
              <w:rPr>
                <w:rFonts w:asciiTheme="minorHAnsi" w:hAnsiTheme="minorHAnsi" w:cs="Calibri"/>
                <w:sz w:val="16"/>
                <w:szCs w:val="16"/>
              </w:rPr>
              <w:t>Cento), divulgado pel</w:t>
            </w:r>
            <w:r w:rsidR="003D0D7F" w:rsidRPr="00DB2361"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 w:rsidR="006419FE" w:rsidRPr="006419FE">
              <w:rPr>
                <w:rFonts w:asciiTheme="minorHAnsi" w:hAnsiTheme="minorHAnsi" w:cs="Calibri"/>
                <w:sz w:val="16"/>
                <w:szCs w:val="16"/>
              </w:rPr>
              <w:t>; ou, inferior a 12 (doze</w:t>
            </w:r>
            <w:r w:rsidR="00276F50">
              <w:rPr>
                <w:rFonts w:asciiTheme="minorHAnsi" w:hAnsiTheme="minorHAnsi" w:cs="Calibri"/>
                <w:sz w:val="16"/>
                <w:szCs w:val="16"/>
              </w:rPr>
              <w:t>)</w:t>
            </w:r>
            <w:r w:rsidR="006419FE" w:rsidRPr="006419FE">
              <w:rPr>
                <w:rFonts w:asciiTheme="minorHAnsi" w:hAnsiTheme="minorHAnsi" w:cs="Calibri"/>
                <w:sz w:val="16"/>
                <w:szCs w:val="16"/>
              </w:rPr>
              <w:t xml:space="preserve">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. 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77777777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9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r w:rsidRPr="009A4023">
              <w:rPr>
                <w:rFonts w:asciiTheme="minorHAnsi" w:hAnsiTheme="minorHAnsi"/>
                <w:sz w:val="16"/>
                <w:szCs w:val="16"/>
              </w:rPr>
              <w:t>)</w:t>
            </w:r>
            <w:bookmarkEnd w:id="39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0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</w:tr>
      <w:bookmarkStart w:id="48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</w:tr>
      <w:bookmarkStart w:id="56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</w:tr>
      <w:bookmarkStart w:id="64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</w:tr>
      <w:bookmarkStart w:id="72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</w:tr>
      <w:bookmarkStart w:id="80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7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4B8E2DDB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</w:t>
      </w:r>
      <w:r w:rsidRPr="003D0D7F">
        <w:rPr>
          <w:rFonts w:asciiTheme="minorHAnsi" w:hAnsiTheme="minorHAnsi" w:cs="Calibri"/>
          <w:sz w:val="16"/>
          <w:szCs w:val="16"/>
          <w:u w:val="none"/>
        </w:rPr>
        <w:t>INCC</w:t>
      </w:r>
      <w:r w:rsidR="003D0D7F" w:rsidRPr="003D0D7F">
        <w:rPr>
          <w:rFonts w:asciiTheme="minorHAnsi" w:hAnsiTheme="minorHAnsi" w:cs="Calibri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</w:t>
      </w:r>
      <w:r w:rsidR="006419F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), </w:t>
      </w:r>
      <w:r w:rsidR="006419FE" w:rsidRPr="006419F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para parcelas que se vencerem antes da data de conclusão das obras (caracterizada pela expedição do Certificado de Conclusão – “habite-se” </w:t>
      </w:r>
      <w:r w:rsidR="006419FE" w:rsidRPr="006419FE">
        <w:rPr>
          <w:rFonts w:asciiTheme="minorHAnsi" w:hAnsiTheme="minorHAnsi" w:cs="Calibri"/>
          <w:b w:val="0"/>
          <w:bCs w:val="0"/>
          <w:sz w:val="16"/>
          <w:szCs w:val="16"/>
        </w:rPr>
        <w:t>apurada entre o índice divulgado no segundo mês anterior à assinatura deste instrumento e o divulgado no segundo mês anterior à data do efetivo pagamento de cada parcela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até a entrega do empreendimento. Após a entrega do empreendimento, as parcelas serão reajustadas pelo Índice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Nacional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Preços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ao Consumidor Amplo (</w:t>
      </w:r>
      <w:r w:rsidR="003D0D7F" w:rsidRPr="00DB2361">
        <w:rPr>
          <w:rFonts w:asciiTheme="minorHAnsi" w:hAnsiTheme="minorHAnsi" w:cs="Calibri"/>
          <w:sz w:val="16"/>
          <w:szCs w:val="16"/>
          <w:u w:val="none"/>
        </w:rPr>
        <w:t>IPCA</w:t>
      </w:r>
      <w:r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 divulgado pel</w:t>
      </w:r>
      <w:r w:rsidR="003D0D7F"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o IBGE</w:t>
      </w:r>
      <w:r w:rsidRPr="00DB236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outro índice que o substitua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45CE69DA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3D0D7F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</w:t>
      </w:r>
      <w:r w:rsidR="00276F50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autônomas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no regime de </w:t>
      </w:r>
      <w:proofErr w:type="spellStart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multipropriedade</w:t>
      </w:r>
      <w:proofErr w:type="spellEnd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lastRenderedPageBreak/>
        <w:t xml:space="preserve">ora adquirido. </w:t>
      </w:r>
      <w:bookmarkStart w:id="88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9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16AC" w14:textId="77777777" w:rsidR="00351CB6" w:rsidRDefault="00351CB6">
      <w:pPr>
        <w:spacing w:line="240" w:lineRule="auto"/>
      </w:pPr>
      <w:r>
        <w:separator/>
      </w:r>
    </w:p>
  </w:endnote>
  <w:endnote w:type="continuationSeparator" w:id="0">
    <w:p w14:paraId="4F5B69B1" w14:textId="77777777" w:rsidR="00351CB6" w:rsidRDefault="00351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CA410" w14:textId="77777777" w:rsidR="00351CB6" w:rsidRDefault="00351CB6">
      <w:pPr>
        <w:spacing w:line="240" w:lineRule="auto"/>
      </w:pPr>
      <w:r>
        <w:separator/>
      </w:r>
    </w:p>
  </w:footnote>
  <w:footnote w:type="continuationSeparator" w:id="0">
    <w:p w14:paraId="6E09A7B0" w14:textId="77777777" w:rsidR="00351CB6" w:rsidRDefault="00351C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E58"/>
    <w:rsid w:val="00016C79"/>
    <w:rsid w:val="00032C05"/>
    <w:rsid w:val="0005522B"/>
    <w:rsid w:val="000B51FC"/>
    <w:rsid w:val="000C28E1"/>
    <w:rsid w:val="000C6FE7"/>
    <w:rsid w:val="000F7181"/>
    <w:rsid w:val="0010535B"/>
    <w:rsid w:val="00107BDF"/>
    <w:rsid w:val="00162AE8"/>
    <w:rsid w:val="00185E84"/>
    <w:rsid w:val="001A30A9"/>
    <w:rsid w:val="001A70CA"/>
    <w:rsid w:val="001B5C84"/>
    <w:rsid w:val="001E76FE"/>
    <w:rsid w:val="001F38C2"/>
    <w:rsid w:val="00211E5A"/>
    <w:rsid w:val="00226EEE"/>
    <w:rsid w:val="002752A9"/>
    <w:rsid w:val="00276F50"/>
    <w:rsid w:val="00290DC1"/>
    <w:rsid w:val="002A4DDB"/>
    <w:rsid w:val="002A73BF"/>
    <w:rsid w:val="002C4119"/>
    <w:rsid w:val="002E1571"/>
    <w:rsid w:val="002E3D1D"/>
    <w:rsid w:val="002F25B1"/>
    <w:rsid w:val="00324A62"/>
    <w:rsid w:val="00351CB6"/>
    <w:rsid w:val="00377EC3"/>
    <w:rsid w:val="003C13D7"/>
    <w:rsid w:val="003D0D7F"/>
    <w:rsid w:val="004A16D3"/>
    <w:rsid w:val="004A7510"/>
    <w:rsid w:val="004D0D57"/>
    <w:rsid w:val="00516B9F"/>
    <w:rsid w:val="005346D6"/>
    <w:rsid w:val="00547A22"/>
    <w:rsid w:val="005656F7"/>
    <w:rsid w:val="00577C7B"/>
    <w:rsid w:val="00593FF2"/>
    <w:rsid w:val="005D4C2B"/>
    <w:rsid w:val="005D52F9"/>
    <w:rsid w:val="005D7413"/>
    <w:rsid w:val="005E2189"/>
    <w:rsid w:val="006113B6"/>
    <w:rsid w:val="006419FE"/>
    <w:rsid w:val="00677D5B"/>
    <w:rsid w:val="00697D4B"/>
    <w:rsid w:val="007122E5"/>
    <w:rsid w:val="00740032"/>
    <w:rsid w:val="00747BE2"/>
    <w:rsid w:val="00787E92"/>
    <w:rsid w:val="0079426C"/>
    <w:rsid w:val="007B2C63"/>
    <w:rsid w:val="007C7674"/>
    <w:rsid w:val="007D7C6A"/>
    <w:rsid w:val="007F3933"/>
    <w:rsid w:val="008920C3"/>
    <w:rsid w:val="008A5BF0"/>
    <w:rsid w:val="008C31A9"/>
    <w:rsid w:val="008C6C5F"/>
    <w:rsid w:val="008D6139"/>
    <w:rsid w:val="00931E3E"/>
    <w:rsid w:val="00934F56"/>
    <w:rsid w:val="009A4023"/>
    <w:rsid w:val="009B273D"/>
    <w:rsid w:val="009D27CE"/>
    <w:rsid w:val="009E1481"/>
    <w:rsid w:val="00A04CE3"/>
    <w:rsid w:val="00A37139"/>
    <w:rsid w:val="00A74658"/>
    <w:rsid w:val="00A97AC8"/>
    <w:rsid w:val="00AC0FB6"/>
    <w:rsid w:val="00AE2A89"/>
    <w:rsid w:val="00AF404F"/>
    <w:rsid w:val="00B32DBF"/>
    <w:rsid w:val="00B652C0"/>
    <w:rsid w:val="00B85394"/>
    <w:rsid w:val="00BA503C"/>
    <w:rsid w:val="00BB2689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4263"/>
    <w:rsid w:val="00D057DB"/>
    <w:rsid w:val="00D11903"/>
    <w:rsid w:val="00D36C5F"/>
    <w:rsid w:val="00D70DB6"/>
    <w:rsid w:val="00D745AB"/>
    <w:rsid w:val="00DA72CE"/>
    <w:rsid w:val="00DB2361"/>
    <w:rsid w:val="00DC116E"/>
    <w:rsid w:val="00DC19AE"/>
    <w:rsid w:val="00DE1502"/>
    <w:rsid w:val="00DF0276"/>
    <w:rsid w:val="00E07F3D"/>
    <w:rsid w:val="00E2275B"/>
    <w:rsid w:val="00E32273"/>
    <w:rsid w:val="00E53B57"/>
    <w:rsid w:val="00EE0B7B"/>
    <w:rsid w:val="00EE24AF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76E9-9CCB-4E3E-873A-217ADB7B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1496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21</cp:revision>
  <dcterms:created xsi:type="dcterms:W3CDTF">2020-11-16T20:26:00Z</dcterms:created>
  <dcterms:modified xsi:type="dcterms:W3CDTF">2022-11-24T13:47:00Z</dcterms:modified>
</cp:coreProperties>
</file>