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Financiero Anual 2025 - Resumen Ejecutivo</w:t>
      </w:r>
    </w:p>
    <w:p>
      <w:r>
        <w:t>Preparado por la Gerencia Financiera de Distribuidora El Roble Ltda.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Concepto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Variación</w:t>
            </w:r>
          </w:p>
        </w:tc>
      </w:tr>
      <w:tr>
        <w:tc>
          <w:tcPr>
            <w:tcW w:type="dxa" w:w="2160"/>
          </w:tcPr>
          <w:p>
            <w:r>
              <w:t>Ingresos operacionales</w:t>
            </w:r>
          </w:p>
        </w:tc>
        <w:tc>
          <w:tcPr>
            <w:tcW w:type="dxa" w:w="2160"/>
          </w:tcPr>
          <w:p>
            <w:r>
              <w:t>$1.120.000.000</w:t>
            </w:r>
          </w:p>
        </w:tc>
        <w:tc>
          <w:tcPr>
            <w:tcW w:type="dxa" w:w="2160"/>
          </w:tcPr>
          <w:p>
            <w:r>
              <w:t>$1.340.000.000</w:t>
            </w:r>
          </w:p>
        </w:tc>
        <w:tc>
          <w:tcPr>
            <w:tcW w:type="dxa" w:w="2160"/>
          </w:tcPr>
          <w:p>
            <w:r>
              <w:t>+19,6%</w:t>
            </w:r>
          </w:p>
        </w:tc>
      </w:tr>
      <w:tr>
        <w:tc>
          <w:tcPr>
            <w:tcW w:type="dxa" w:w="2160"/>
          </w:tcPr>
          <w:p>
            <w:r>
              <w:t>Costos de venta</w:t>
            </w:r>
          </w:p>
        </w:tc>
        <w:tc>
          <w:tcPr>
            <w:tcW w:type="dxa" w:w="2160"/>
          </w:tcPr>
          <w:p>
            <w:r>
              <w:t>$740.000.000</w:t>
            </w:r>
          </w:p>
        </w:tc>
        <w:tc>
          <w:tcPr>
            <w:tcW w:type="dxa" w:w="2160"/>
          </w:tcPr>
          <w:p>
            <w:r>
              <w:t>$860.000.000</w:t>
            </w:r>
          </w:p>
        </w:tc>
        <w:tc>
          <w:tcPr>
            <w:tcW w:type="dxa" w:w="2160"/>
          </w:tcPr>
          <w:p>
            <w:r>
              <w:t>+16,2%</w:t>
            </w:r>
          </w:p>
        </w:tc>
      </w:tr>
      <w:tr>
        <w:tc>
          <w:tcPr>
            <w:tcW w:type="dxa" w:w="2160"/>
          </w:tcPr>
          <w:p>
            <w:r>
              <w:t>Utilidad neta</w:t>
            </w:r>
          </w:p>
        </w:tc>
        <w:tc>
          <w:tcPr>
            <w:tcW w:type="dxa" w:w="2160"/>
          </w:tcPr>
          <w:p>
            <w:r>
              <w:t>$95.000.000</w:t>
            </w:r>
          </w:p>
        </w:tc>
        <w:tc>
          <w:tcPr>
            <w:tcW w:type="dxa" w:w="2160"/>
          </w:tcPr>
          <w:p>
            <w:r>
              <w:t>$128.000.000</w:t>
            </w:r>
          </w:p>
        </w:tc>
        <w:tc>
          <w:tcPr>
            <w:tcW w:type="dxa" w:w="2160"/>
          </w:tcPr>
          <w:p>
            <w:r>
              <w:t>+34,7%</w:t>
            </w:r>
          </w:p>
        </w:tc>
      </w:tr>
    </w:tbl>
    <w:p>
      <w:r>
        <w:t>El crecimiento en ingresos se explica principalmente por la apertura de dos nuevos puntos de venta en Piedecuesta y Girón durante el segundo semestre.</w:t>
      </w:r>
    </w:p>
    <w:p>
      <w:r>
        <w:t>Se proyecta para el año 2026 un crecimiento adicional del 12% en ingresos.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