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Ficha Técnica de Producto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Característica</w:t>
            </w:r>
          </w:p>
        </w:tc>
        <w:tc>
          <w:tcPr>
            <w:tcW w:type="dxa" w:w="4320"/>
          </w:tcPr>
          <w:p>
            <w:r>
              <w:t>Especificación</w:t>
            </w:r>
          </w:p>
        </w:tc>
      </w:tr>
      <w:tr>
        <w:tc>
          <w:tcPr>
            <w:tcW w:type="dxa" w:w="4320"/>
          </w:tcPr>
          <w:p>
            <w:r>
              <w:t>Nombre del producto</w:t>
            </w:r>
          </w:p>
        </w:tc>
        <w:tc>
          <w:tcPr>
            <w:tcW w:type="dxa" w:w="4320"/>
          </w:tcPr>
          <w:p>
            <w:r>
              <w:t>Fertilizante orgánico compostado AgroPlus</w:t>
            </w:r>
          </w:p>
        </w:tc>
      </w:tr>
      <w:tr>
        <w:tc>
          <w:tcPr>
            <w:tcW w:type="dxa" w:w="4320"/>
          </w:tcPr>
          <w:p>
            <w:r>
              <w:t>Presentación</w:t>
            </w:r>
          </w:p>
        </w:tc>
        <w:tc>
          <w:tcPr>
            <w:tcW w:type="dxa" w:w="4320"/>
          </w:tcPr>
          <w:p>
            <w:r>
              <w:t>Bulto de 40 kg</w:t>
            </w:r>
          </w:p>
        </w:tc>
      </w:tr>
      <w:tr>
        <w:tc>
          <w:tcPr>
            <w:tcW w:type="dxa" w:w="4320"/>
          </w:tcPr>
          <w:p>
            <w:r>
              <w:t>Composición principal</w:t>
            </w:r>
          </w:p>
        </w:tc>
        <w:tc>
          <w:tcPr>
            <w:tcW w:type="dxa" w:w="4320"/>
          </w:tcPr>
          <w:p>
            <w:r>
              <w:t>Materia orgánica compostada, N-P-K balanceado</w:t>
            </w:r>
          </w:p>
        </w:tc>
      </w:tr>
      <w:tr>
        <w:tc>
          <w:tcPr>
            <w:tcW w:type="dxa" w:w="4320"/>
          </w:tcPr>
          <w:p>
            <w:r>
              <w:t>Fabricante</w:t>
            </w:r>
          </w:p>
        </w:tc>
        <w:tc>
          <w:tcPr>
            <w:tcW w:type="dxa" w:w="4320"/>
          </w:tcPr>
          <w:p>
            <w:r>
              <w:t>Agroindustrias Santander S.A.</w:t>
            </w:r>
          </w:p>
        </w:tc>
      </w:tr>
      <w:tr>
        <w:tc>
          <w:tcPr>
            <w:tcW w:type="dxa" w:w="4320"/>
          </w:tcPr>
          <w:p>
            <w:r>
              <w:t>Vida útil</w:t>
            </w:r>
          </w:p>
        </w:tc>
        <w:tc>
          <w:tcPr>
            <w:tcW w:type="dxa" w:w="4320"/>
          </w:tcPr>
          <w:p>
            <w:r>
              <w:t>18 meses en almacenamiento adecuado</w:t>
            </w:r>
          </w:p>
        </w:tc>
      </w:tr>
      <w:tr>
        <w:tc>
          <w:tcPr>
            <w:tcW w:type="dxa" w:w="4320"/>
          </w:tcPr>
          <w:p>
            <w:r>
              <w:t>Recomendación de uso</w:t>
            </w:r>
          </w:p>
        </w:tc>
        <w:tc>
          <w:tcPr>
            <w:tcW w:type="dxa" w:w="4320"/>
          </w:tcPr>
          <w:p>
            <w:r>
              <w:t>200 a 300 kg por hectárea, según análisis de suelo</w:t>
            </w:r>
          </w:p>
        </w:tc>
      </w:tr>
    </w:tbl>
    <w:p>
      <w:r>
        <w:t>Almacenar en lugar seco, ventilado y alejado de fuentes de humedad directa.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