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Autospacing="1" w:afterAutospacing="1"/>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EVALUACIÓN CONTINUA 2: ESTADO DEL ARTE</w:t>
      </w:r>
    </w:p>
    <w:p>
      <w:pPr>
        <w:pStyle w:val="Normal"/>
        <w:spacing w:lineRule="auto" w:line="240" w:beforeAutospacing="1" w:afterAutospacing="1"/>
        <w:rPr>
          <w:rFonts w:ascii="Times New Roman" w:hAnsi="Times New Roman" w:eastAsia="Times New Roman" w:cs="Times New Roman"/>
          <w:kern w:val="0"/>
          <w:lang w:eastAsia="es-MX"/>
          <w14:ligatures w14:val="none"/>
        </w:rPr>
      </w:pPr>
      <w:r>
        <w:rPr>
          <w:rFonts w:eastAsia="Times New Roman" w:cs="Times New Roman" w:ascii="Times New Roman" w:hAnsi="Times New Roman"/>
          <w:b/>
          <w:bCs/>
          <w:kern w:val="0"/>
          <w:lang w:eastAsia="es-MX"/>
          <w14:ligatures w14:val="none"/>
        </w:rPr>
        <w:t>Formato de Presentación</w:t>
      </w:r>
      <w:r>
        <w:rPr>
          <w:rFonts w:eastAsia="Times New Roman" w:cs="Times New Roman" w:ascii="Times New Roman" w:hAnsi="Times New Roman"/>
          <w:kern w:val="0"/>
          <w:lang w:eastAsia="es-MX"/>
          <w14:ligatures w14:val="none"/>
        </w:rPr>
        <w:t xml:space="preserve"> </w:t>
      </w:r>
    </w:p>
    <w:p>
      <w:pPr>
        <w:pStyle w:val="Normal"/>
        <w:spacing w:lineRule="auto" w:line="240" w:before="0" w:after="0"/>
        <w:rPr>
          <w:rFonts w:ascii="Times New Roman" w:hAnsi="Times New Roman" w:eastAsia="Times New Roman" w:cs="Times New Roman"/>
          <w:kern w:val="0"/>
          <w:lang w:eastAsia="es-MX"/>
          <w14:ligatures w14:val="none"/>
        </w:rPr>
      </w:pPr>
      <w:r>
        <w:rPr/>
        <mc:AlternateContent>
          <mc:Choice Requires="wps">
            <w:drawing>
              <wp:inline distT="0" distB="0" distL="0" distR="0">
                <wp:extent cx="5612765" cy="1270"/>
                <wp:effectExtent l="0" t="0" r="0" b="0"/>
                <wp:docPr id="1" name=""/>
                <a:graphic xmlns:a="http://schemas.openxmlformats.org/drawingml/2006/main">
                  <a:graphicData uri="http://schemas.microsoft.com/office/word/2010/wordprocessingShape">
                    <wps:wsp>
                      <wps:cNvSpPr/>
                      <wps:nvSpPr>
                        <wps:cNvPr id="0" name="Rectangle 1"/>
                        <wps:cNvSpPr/>
                      </wps:nvSpPr>
                      <wps:spPr>
                        <a:xfrm>
                          <a:off x="0" y="0"/>
                          <a:ext cx="5612040" cy="72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0.1pt;width:441.85pt;height:0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
          <w:bCs/>
          <w:kern w:val="0"/>
          <w:sz w:val="36"/>
          <w:szCs w:val="36"/>
          <w:lang w:eastAsia="es-MX"/>
          <w14:ligatures w14:val="none"/>
        </w:rPr>
      </w:pPr>
      <w:r>
        <w:rPr>
          <w:rFonts w:eastAsia="Times New Roman" w:cs="Times New Roman" w:ascii="Times New Roman" w:hAnsi="Times New Roman"/>
          <w:b/>
          <w:bCs/>
          <w:kern w:val="0"/>
          <w:sz w:val="36"/>
          <w:szCs w:val="36"/>
          <w:lang w:eastAsia="es-MX"/>
          <w14:ligatures w14:val="none"/>
        </w:rPr>
        <w:t>Universidad [Nombre de la Universidad]</w:t>
      </w:r>
    </w:p>
    <w:p>
      <w:pPr>
        <w:pStyle w:val="Normal"/>
        <w:spacing w:lineRule="auto" w:line="240" w:beforeAutospacing="1" w:afterAutospacing="1"/>
        <w:rPr/>
      </w:pPr>
      <w:r>
        <w:rPr>
          <w:rFonts w:eastAsia="Times New Roman" w:cs="Times New Roman" w:ascii="Times New Roman" w:hAnsi="Times New Roman"/>
          <w:kern w:val="0"/>
          <w:lang w:eastAsia="es-MX"/>
          <w14:ligatures w14:val="none"/>
        </w:rPr>
        <w:br/>
      </w:r>
      <w:r>
        <w:rPr>
          <w:rFonts w:eastAsia="Times New Roman" w:cs="Times New Roman" w:ascii="Times New Roman" w:hAnsi="Times New Roman"/>
          <w:b/>
          <w:bCs/>
          <w:kern w:val="0"/>
          <w:lang w:eastAsia="es-MX"/>
          <w14:ligatures w14:val="none"/>
        </w:rPr>
        <w:t>Curso:</w:t>
      </w:r>
      <w:r>
        <w:rPr>
          <w:rFonts w:eastAsia="Times New Roman" w:cs="Times New Roman" w:ascii="Times New Roman" w:hAnsi="Times New Roman"/>
          <w:kern w:val="0"/>
          <w:lang w:eastAsia="es-MX"/>
          <w14:ligatures w14:val="none"/>
        </w:rPr>
        <w:t xml:space="preserve"> Realidad Nacional</w:t>
        <w:br/>
      </w:r>
      <w:r>
        <w:rPr>
          <w:rFonts w:eastAsia="Times New Roman" w:cs="Times New Roman" w:ascii="Times New Roman" w:hAnsi="Times New Roman"/>
          <w:b/>
          <w:bCs/>
          <w:kern w:val="0"/>
          <w:lang w:eastAsia="es-MX"/>
          <w14:ligatures w14:val="none"/>
        </w:rPr>
        <w:t>Docente:</w:t>
      </w:r>
      <w:r>
        <w:rPr>
          <w:rFonts w:eastAsia="Times New Roman" w:cs="Times New Roman" w:ascii="Times New Roman" w:hAnsi="Times New Roman"/>
          <w:kern w:val="0"/>
          <w:lang w:eastAsia="es-MX"/>
          <w14:ligatures w14:val="none"/>
        </w:rPr>
        <w:t xml:space="preserve"> </w:t>
        <w:br/>
      </w:r>
      <w:r>
        <w:rPr>
          <w:rFonts w:eastAsia="Times New Roman" w:cs="Times New Roman" w:ascii="Times New Roman" w:hAnsi="Times New Roman"/>
          <w:b/>
          <w:bCs/>
          <w:kern w:val="0"/>
          <w:lang w:eastAsia="es-MX"/>
          <w14:ligatures w14:val="none"/>
        </w:rPr>
        <w:t>Título del trabajo:</w:t>
      </w:r>
      <w:r>
        <w:rPr>
          <w:rFonts w:eastAsia="Times New Roman" w:cs="Times New Roman" w:ascii="Times New Roman" w:hAnsi="Times New Roman"/>
          <w:kern w:val="0"/>
          <w:lang w:eastAsia="es-MX"/>
          <w14:ligatures w14:val="none"/>
        </w:rPr>
        <w:t xml:space="preserve"> Estado del Arte sobre </w:t>
      </w:r>
      <w:r>
        <w:rPr>
          <w:rFonts w:eastAsia="Times New Roman" w:cs="Times New Roman" w:ascii="Times New Roman" w:hAnsi="Times New Roman"/>
          <w:kern w:val="0"/>
          <w:lang w:eastAsia="es-MX"/>
          <w14:ligatures w14:val="none"/>
        </w:rPr>
        <w:t>corrupción en gestión pública: Perú vs. México</w:t>
      </w:r>
      <w:r>
        <w:rPr>
          <w:rFonts w:eastAsia="Times New Roman" w:cs="Times New Roman" w:ascii="Times New Roman" w:hAnsi="Times New Roman"/>
          <w:kern w:val="0"/>
          <w:lang w:eastAsia="es-MX"/>
          <w14:ligatures w14:val="none"/>
        </w:rPr>
        <w:br/>
      </w:r>
      <w:r>
        <w:rPr>
          <w:rFonts w:eastAsia="Times New Roman" w:cs="Times New Roman" w:ascii="Times New Roman" w:hAnsi="Times New Roman"/>
          <w:b/>
          <w:bCs/>
          <w:kern w:val="0"/>
          <w:lang w:eastAsia="es-MX"/>
          <w14:ligatures w14:val="none"/>
        </w:rPr>
        <w:t>Integrantes:</w:t>
      </w:r>
    </w:p>
    <w:p>
      <w:pPr>
        <w:pStyle w:val="Normal"/>
        <w:numPr>
          <w:ilvl w:val="0"/>
          <w:numId w:val="1"/>
        </w:numPr>
        <w:spacing w:lineRule="auto" w:line="240" w:before="0" w:afterAutospacing="1"/>
        <w:rPr/>
      </w:pPr>
      <w:r>
        <w:rPr>
          <w:rFonts w:eastAsia="Times New Roman" w:cs="Times New Roman" w:ascii="Times New Roman" w:hAnsi="Times New Roman"/>
          <w:kern w:val="0"/>
          <w:lang w:eastAsia="es-MX"/>
          <w14:ligatures w14:val="none"/>
        </w:rPr>
        <w:t xml:space="preserve">Daira Gabriela Cano Velasco </w:t>
      </w:r>
    </w:p>
    <w:p>
      <w:pPr>
        <w:pStyle w:val="Normal"/>
        <w:numPr>
          <w:ilvl w:val="0"/>
          <w:numId w:val="0"/>
        </w:numPr>
        <w:spacing w:lineRule="auto" w:line="240" w:before="0" w:afterAutospacing="1"/>
        <w:ind w:left="720" w:hanging="0"/>
        <w:rPr/>
      </w:pPr>
      <w:r>
        <w:rPr>
          <w:rFonts w:eastAsia="Times New Roman" w:cs="Times New Roman" w:ascii="Times New Roman" w:hAnsi="Times New Roman"/>
          <w:kern w:val="0"/>
          <w:lang w:eastAsia="es-MX"/>
          <w14:ligatures w14:val="none"/>
        </w:rPr>
        <w:br/>
      </w:r>
      <w:r>
        <w:rPr>
          <w:rFonts w:eastAsia="Times New Roman" w:cs="Times New Roman" w:ascii="Times New Roman" w:hAnsi="Times New Roman"/>
          <w:b/>
          <w:bCs/>
          <w:kern w:val="0"/>
          <w:lang w:eastAsia="es-MX"/>
          <w14:ligatures w14:val="none"/>
        </w:rPr>
        <w:t>Fecha:</w:t>
      </w:r>
      <w:r>
        <w:rPr>
          <w:rFonts w:eastAsia="Times New Roman" w:cs="Times New Roman" w:ascii="Times New Roman" w:hAnsi="Times New Roman"/>
          <w:kern w:val="0"/>
          <w:lang w:eastAsia="es-MX"/>
          <w14:ligatures w14:val="none"/>
        </w:rPr>
        <w:t xml:space="preserve"> </w:t>
      </w:r>
      <w:r>
        <w:rPr>
          <w:rFonts w:eastAsia="Times New Roman" w:cs="Times New Roman" w:ascii="Times New Roman" w:hAnsi="Times New Roman"/>
          <w:kern w:val="0"/>
          <w:lang w:eastAsia="es-MX"/>
          <w14:ligatures w14:val="none"/>
        </w:rPr>
        <w:t>12</w:t>
      </w:r>
      <w:r>
        <w:rPr>
          <w:rFonts w:eastAsia="Times New Roman" w:cs="Times New Roman" w:ascii="Times New Roman" w:hAnsi="Times New Roman"/>
          <w:kern w:val="0"/>
          <w:lang w:eastAsia="es-MX"/>
          <w14:ligatures w14:val="none"/>
        </w:rPr>
        <w:t>/</w:t>
      </w:r>
      <w:r>
        <w:rPr>
          <w:rFonts w:eastAsia="Times New Roman" w:cs="Times New Roman" w:ascii="Times New Roman" w:hAnsi="Times New Roman"/>
          <w:kern w:val="0"/>
          <w:lang w:eastAsia="es-MX"/>
          <w14:ligatures w14:val="none"/>
        </w:rPr>
        <w:t>11</w:t>
      </w:r>
      <w:r>
        <w:rPr>
          <w:rFonts w:eastAsia="Times New Roman" w:cs="Times New Roman" w:ascii="Times New Roman" w:hAnsi="Times New Roman"/>
          <w:kern w:val="0"/>
          <w:lang w:eastAsia="es-MX"/>
          <w14:ligatures w14:val="none"/>
        </w:rPr>
        <w:t>/</w:t>
      </w:r>
      <w:r>
        <w:rPr>
          <w:rFonts w:eastAsia="Times New Roman" w:cs="Times New Roman" w:ascii="Times New Roman" w:hAnsi="Times New Roman"/>
          <w:kern w:val="0"/>
          <w:lang w:eastAsia="es-MX"/>
          <w14:ligatures w14:val="none"/>
        </w:rPr>
        <w:t>2025</w:t>
      </w:r>
    </w:p>
    <w:p>
      <w:pPr>
        <w:pStyle w:val="Normal"/>
        <w:spacing w:lineRule="auto" w:line="240" w:before="0" w:after="0"/>
        <w:rPr>
          <w:rFonts w:ascii="Times New Roman" w:hAnsi="Times New Roman" w:eastAsia="Times New Roman" w:cs="Times New Roman"/>
          <w:kern w:val="0"/>
          <w:lang w:eastAsia="es-MX"/>
          <w14:ligatures w14:val="none"/>
        </w:rPr>
      </w:pPr>
      <w:r>
        <w:rPr/>
        <mc:AlternateContent>
          <mc:Choice Requires="wps">
            <w:drawing>
              <wp:inline distT="0" distB="0" distL="0" distR="0">
                <wp:extent cx="5612765" cy="1270"/>
                <wp:effectExtent l="0" t="0" r="0" b="0"/>
                <wp:docPr id="2" name=""/>
                <a:graphic xmlns:a="http://schemas.openxmlformats.org/drawingml/2006/main">
                  <a:graphicData uri="http://schemas.microsoft.com/office/word/2010/wordprocessingShape">
                    <wps:wsp>
                      <wps:cNvSpPr/>
                      <wps:nvSpPr>
                        <wps:cNvPr id="1" name="Rectangle 1"/>
                        <wps:cNvSpPr/>
                      </wps:nvSpPr>
                      <wps:spPr>
                        <a:xfrm>
                          <a:off x="0" y="0"/>
                          <a:ext cx="5612040" cy="72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0.1pt;width:441.85pt;height:0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kern w:val="0"/>
          <w:sz w:val="27"/>
          <w:szCs w:val="27"/>
          <w:lang w:eastAsia="es-MX"/>
          <w14:ligatures w14:val="none"/>
        </w:rPr>
      </w:pPr>
      <w:r>
        <w:rPr>
          <w:rFonts w:eastAsia="Times New Roman" w:cs="Times New Roman" w:ascii="Times New Roman" w:hAnsi="Times New Roman"/>
          <w:b/>
          <w:bCs/>
          <w:kern w:val="0"/>
          <w:sz w:val="27"/>
          <w:szCs w:val="27"/>
          <w:lang w:eastAsia="es-MX"/>
          <w14:ligatures w14:val="none"/>
        </w:rPr>
        <w:t xml:space="preserve">1. Descripción de la problemática social </w:t>
      </w:r>
    </w:p>
    <w:p>
      <w:pPr>
        <w:pStyle w:val="Normal"/>
        <w:spacing w:lineRule="auto" w:line="240" w:beforeAutospacing="1" w:afterAutospacing="1"/>
        <w:rPr>
          <w:rFonts w:ascii="Times New Roman" w:hAnsi="Times New Roman" w:eastAsia="Times New Roman" w:cs="Times New Roman"/>
          <w:kern w:val="0"/>
          <w:lang w:eastAsia="es-MX"/>
          <w14:ligatures w14:val="none"/>
        </w:rPr>
      </w:pPr>
      <w:r>
        <w:rPr>
          <w:rFonts w:eastAsia="Times New Roman" w:cs="Times New Roman" w:ascii="Times New Roman" w:hAnsi="Times New Roman"/>
          <w:b/>
          <w:bCs/>
          <w:kern w:val="0"/>
          <w:lang w:eastAsia="es-MX"/>
          <w14:ligatures w14:val="none"/>
        </w:rPr>
        <w:t>Objetivo:</w:t>
      </w:r>
      <w:r>
        <w:rPr>
          <w:rFonts w:eastAsia="Times New Roman" w:cs="Times New Roman" w:ascii="Times New Roman" w:hAnsi="Times New Roman"/>
          <w:kern w:val="0"/>
          <w:lang w:eastAsia="es-MX"/>
          <w14:ligatures w14:val="none"/>
        </w:rPr>
        <w:t xml:space="preserve"> Clasificar la problemática según las dimensiones histórica, política, económica y social, relacionándola con actividades sincrónicas de las sesiones 9-11.</w:t>
      </w:r>
    </w:p>
    <w:p>
      <w:pPr>
        <w:pStyle w:val="Normal"/>
        <w:spacing w:lineRule="auto" w:line="240" w:beforeAutospacing="1" w:afterAutospacing="1"/>
        <w:jc w:val="both"/>
        <w:rPr/>
      </w:pPr>
      <w:r>
        <w:rPr>
          <w:rFonts w:eastAsia="Times New Roman" w:cs="Times New Roman" w:ascii="Times New Roman" w:hAnsi="Times New Roman"/>
          <w:b/>
          <w:bCs/>
          <w:kern w:val="0"/>
          <w:lang w:eastAsia="es-MX"/>
          <w14:ligatures w14:val="none"/>
        </w:rPr>
        <w:t>1.1. Presentación general del problema</w:t>
      </w:r>
      <w:r>
        <w:rPr>
          <w:rFonts w:eastAsia="Times New Roman" w:cs="Times New Roman" w:ascii="Times New Roman" w:hAnsi="Times New Roman"/>
          <w:kern w:val="0"/>
          <w:lang w:eastAsia="es-MX"/>
          <w14:ligatures w14:val="none"/>
        </w:rPr>
        <w:br/>
      </w:r>
      <w:r>
        <w:rPr>
          <w:rFonts w:eastAsia="Times New Roman" w:cs="Times New Roman" w:ascii="Times New Roman" w:hAnsi="Times New Roman"/>
          <w:b w:val="false"/>
          <w:bCs w:val="false"/>
          <w:i w:val="false"/>
          <w:iCs w:val="false"/>
          <w:kern w:val="0"/>
          <w:sz w:val="22"/>
          <w:szCs w:val="22"/>
          <w:lang w:eastAsia="es-MX"/>
          <w14:ligatures w14:val="none"/>
        </w:rPr>
        <w:t>La corrupción en la gestión pública constituye un obstáculo persistente para el desarrollo sostenible, la equidad y la confianza ciudadana. En América Latina, sus manifestaciones varían según el contexto institucional y cultural, pero comparten raíces estructurales comunes: impunidad, clientelismo y debilidad de los mecanismos de control.</w:t>
        <w:br/>
        <w:br/>
        <w:t>En Perú, el estudio de Incio y Seifert (2024) demuestra que la percepción social de la corrupción influye directamente en la disposición individual a sobornar. A través de un experimento online con más de 2,500 participantes, los autores encontraron que los mensajes que refuerzan la idea de que "todos son corruptos" incrementan la probabilidad de reproducir conductas ilícitas, mostrando que la normalización cultural de la corrupción perpetúa su existencia.</w:t>
        <w:br/>
        <w:br/>
        <w:t>Por su parte, en México, el trabajo de Davidović (2024) revela que la percepción de corrupción gubernamental reduce el apoyo ciudadano a las políticas públicas, especialmente a aquellas de tipo ambiental, como los impuestos al carbono. La desconfianza en la gestión estatal genera apatía y resistencia ciudadana a colaborar con el Estado, debilitando el contrato social.</w:t>
        <w:br/>
        <w:br/>
        <w:t>En ambos países, la corrupción es un fenómeno que trasciende lo legal: afecta la cultura cívica, la eficiencia institucional y el crecimiento económico, creando un círculo vicioso de desconfianza y desigualdad.</w:t>
      </w:r>
    </w:p>
    <w:p>
      <w:pPr>
        <w:pStyle w:val="Normal"/>
        <w:spacing w:lineRule="auto" w:line="240" w:beforeAutospacing="1" w:afterAutospacing="1"/>
        <w:rPr>
          <w:rFonts w:ascii="Times New Roman" w:hAnsi="Times New Roman" w:eastAsia="Times New Roman" w:cs="Times New Roman"/>
          <w:i/>
          <w:i/>
          <w:iCs/>
          <w:kern w:val="0"/>
          <w:lang w:eastAsia="es-MX"/>
          <w14:ligatures w14:val="none"/>
        </w:rPr>
      </w:pPr>
      <w:r>
        <w:rPr/>
      </w:r>
    </w:p>
    <w:p>
      <w:pPr>
        <w:pStyle w:val="Normal"/>
        <w:spacing w:lineRule="auto" w:line="240" w:beforeAutospacing="1" w:afterAutospacing="1"/>
        <w:rPr>
          <w:rFonts w:ascii="Times New Roman" w:hAnsi="Times New Roman" w:eastAsia="Times New Roman" w:cs="Times New Roman"/>
          <w:kern w:val="0"/>
          <w:lang w:eastAsia="es-MX"/>
          <w14:ligatures w14:val="none"/>
        </w:rPr>
      </w:pPr>
      <w:r>
        <w:rPr>
          <w:rFonts w:eastAsia="Times New Roman" w:cs="Times New Roman" w:ascii="Times New Roman" w:hAnsi="Times New Roman"/>
          <w:b/>
          <w:bCs/>
          <w:kern w:val="0"/>
          <w:lang w:eastAsia="es-MX"/>
          <w14:ligatures w14:val="none"/>
        </w:rPr>
        <w:t>1.2. Clasificación según dimensiones:</w:t>
      </w:r>
    </w:p>
    <w:p>
      <w:pPr>
        <w:pStyle w:val="Normal"/>
        <w:numPr>
          <w:ilvl w:val="0"/>
          <w:numId w:val="2"/>
        </w:numPr>
        <w:spacing w:lineRule="auto" w:line="240" w:beforeAutospacing="1" w:after="0"/>
        <w:jc w:val="both"/>
        <w:rPr/>
      </w:pPr>
      <w:r>
        <w:rPr>
          <w:rFonts w:eastAsia="Times New Roman" w:cs="Times New Roman" w:ascii="Times New Roman" w:hAnsi="Times New Roman"/>
          <w:b/>
          <w:bCs/>
          <w:kern w:val="0"/>
          <w:lang w:eastAsia="es-MX"/>
          <w14:ligatures w14:val="none"/>
        </w:rPr>
        <w:t>Dimensión histórica:</w:t>
      </w:r>
      <w:r>
        <w:rPr>
          <w:rFonts w:eastAsia="Times New Roman" w:cs="Times New Roman" w:ascii="Times New Roman" w:hAnsi="Times New Roman"/>
          <w:kern w:val="0"/>
          <w:lang w:eastAsia="es-MX"/>
          <w14:ligatures w14:val="none"/>
        </w:rPr>
        <w:t xml:space="preserve"> En Perú, la debilidad del Estado republicano y la inestabilidad política han impedido consolidar instituciones imparciales. En México, el legado de un sistema político hegemónico y redes clientelares persiste como base de la corrupción estructural.</w:t>
      </w:r>
    </w:p>
    <w:p>
      <w:pPr>
        <w:pStyle w:val="Normal"/>
        <w:numPr>
          <w:ilvl w:val="0"/>
          <w:numId w:val="2"/>
        </w:numPr>
        <w:spacing w:lineRule="auto" w:line="240" w:before="0" w:after="0"/>
        <w:jc w:val="both"/>
        <w:rPr/>
      </w:pPr>
      <w:r>
        <w:rPr>
          <w:rFonts w:eastAsia="Times New Roman" w:cs="Times New Roman" w:ascii="Times New Roman" w:hAnsi="Times New Roman"/>
          <w:b/>
          <w:bCs/>
          <w:kern w:val="0"/>
          <w:lang w:eastAsia="es-MX"/>
          <w14:ligatures w14:val="none"/>
        </w:rPr>
        <w:t>Dimensión política:</w:t>
      </w:r>
      <w:r>
        <w:rPr>
          <w:rFonts w:eastAsia="Times New Roman" w:cs="Times New Roman" w:ascii="Times New Roman" w:hAnsi="Times New Roman"/>
          <w:kern w:val="0"/>
          <w:lang w:eastAsia="es-MX"/>
          <w14:ligatures w14:val="none"/>
        </w:rPr>
        <w:t xml:space="preserve"> Ambos países comparten baja rendición de cuentas, influencia de intereses privados y cooptación de instituciones judiciales o de control. </w:t>
      </w:r>
    </w:p>
    <w:p>
      <w:pPr>
        <w:pStyle w:val="Normal"/>
        <w:numPr>
          <w:ilvl w:val="0"/>
          <w:numId w:val="2"/>
        </w:numPr>
        <w:spacing w:lineRule="auto" w:line="240" w:before="0" w:after="0"/>
        <w:jc w:val="both"/>
        <w:rPr/>
      </w:pPr>
      <w:r>
        <w:rPr>
          <w:rFonts w:eastAsia="Times New Roman" w:cs="Times New Roman" w:ascii="Times New Roman" w:hAnsi="Times New Roman"/>
          <w:b/>
          <w:bCs/>
          <w:kern w:val="0"/>
          <w:lang w:eastAsia="es-MX"/>
          <w14:ligatures w14:val="none"/>
        </w:rPr>
        <w:t>Dimensión económica:</w:t>
      </w:r>
      <w:r>
        <w:rPr>
          <w:rFonts w:eastAsia="Times New Roman" w:cs="Times New Roman" w:ascii="Times New Roman" w:hAnsi="Times New Roman"/>
          <w:kern w:val="0"/>
          <w:lang w:eastAsia="es-MX"/>
          <w14:ligatures w14:val="none"/>
        </w:rPr>
        <w:t xml:space="preserve"> La corrupción genera sobrecostos en contrataciones, distorsiona la competencia y reduce la inversión pública efectiva.</w:t>
      </w:r>
    </w:p>
    <w:p>
      <w:pPr>
        <w:pStyle w:val="Normal"/>
        <w:numPr>
          <w:ilvl w:val="0"/>
          <w:numId w:val="2"/>
        </w:numPr>
        <w:spacing w:lineRule="auto" w:line="240" w:before="0" w:afterAutospacing="1"/>
        <w:jc w:val="both"/>
        <w:rPr/>
      </w:pPr>
      <w:r>
        <w:rPr>
          <w:rFonts w:eastAsia="Times New Roman" w:cs="Times New Roman" w:ascii="Times New Roman" w:hAnsi="Times New Roman"/>
          <w:b/>
          <w:bCs/>
          <w:kern w:val="0"/>
          <w:lang w:eastAsia="es-MX"/>
          <w14:ligatures w14:val="none"/>
        </w:rPr>
        <w:t>Dimensión social:</w:t>
      </w:r>
      <w:r>
        <w:rPr>
          <w:rFonts w:eastAsia="Times New Roman" w:cs="Times New Roman" w:ascii="Times New Roman" w:hAnsi="Times New Roman"/>
          <w:kern w:val="0"/>
          <w:lang w:eastAsia="es-MX"/>
          <w14:ligatures w14:val="none"/>
        </w:rPr>
        <w:t xml:space="preserve"> En ambos contextos se observa tolerancia social hacia la "coima" o los favores informales, junto con una desconfianza generalizada hacia las autoridades.</w:t>
      </w:r>
    </w:p>
    <w:p>
      <w:pPr>
        <w:pStyle w:val="Normal"/>
        <w:spacing w:lineRule="auto" w:line="240" w:beforeAutospacing="1" w:afterAutospacing="1"/>
        <w:jc w:val="both"/>
        <w:rPr>
          <w:rFonts w:ascii="Times New Roman" w:hAnsi="Times New Roman" w:eastAsia="Times New Roman" w:cs="Times New Roman"/>
          <w:kern w:val="0"/>
          <w:lang w:eastAsia="es-MX"/>
          <w14:ligatures w14:val="none"/>
        </w:rPr>
      </w:pPr>
      <w:r>
        <w:rPr>
          <w:rFonts w:eastAsia="Times New Roman" w:cs="Times New Roman" w:ascii="Times New Roman" w:hAnsi="Times New Roman"/>
          <w:b/>
          <w:bCs/>
          <w:kern w:val="0"/>
          <w:lang w:eastAsia="es-MX"/>
          <w14:ligatures w14:val="none"/>
        </w:rPr>
        <w:t>1.3. Relación con actividades sincrónicas (sesiones 9-11):</w:t>
      </w:r>
    </w:p>
    <w:p>
      <w:pPr>
        <w:pStyle w:val="Normal"/>
        <w:numPr>
          <w:ilvl w:val="0"/>
          <w:numId w:val="3"/>
        </w:numPr>
        <w:spacing w:lineRule="auto" w:line="240" w:beforeAutospacing="1" w:after="0"/>
        <w:jc w:val="both"/>
        <w:rPr/>
      </w:pPr>
      <w:r>
        <w:rPr>
          <w:rFonts w:eastAsia="Times New Roman" w:cs="Times New Roman" w:ascii="Times New Roman" w:hAnsi="Times New Roman"/>
          <w:kern w:val="0"/>
          <w:lang w:eastAsia="es-MX"/>
          <w14:ligatures w14:val="none"/>
        </w:rPr>
        <w:t>Actividad 1: S9: Modelos económicos: La corrupción altera el funcionamiento de los modelos de libre mercado, generando fallas estructurales que limitan la competencia y favorecen monopolios informales. En ambos países, el costo económico de la corrupción impacta directamente en la productividad nacional.</w:t>
      </w:r>
    </w:p>
    <w:p>
      <w:pPr>
        <w:pStyle w:val="Normal"/>
        <w:numPr>
          <w:ilvl w:val="0"/>
          <w:numId w:val="3"/>
        </w:numPr>
        <w:spacing w:lineRule="auto" w:line="240" w:before="0" w:after="0"/>
        <w:jc w:val="both"/>
        <w:rPr/>
      </w:pPr>
      <w:r>
        <w:rPr>
          <w:rFonts w:eastAsia="Times New Roman" w:cs="Times New Roman" w:ascii="Times New Roman" w:hAnsi="Times New Roman"/>
          <w:kern w:val="0"/>
          <w:lang w:eastAsia="es-MX"/>
          <w14:ligatures w14:val="none"/>
        </w:rPr>
        <w:t>Actividad 2: S10: Desigualdad: La corrupción profundiza la brecha entre grupos sociales, ya que los recursos desviados y la impunidad benefician a minorías con poder económico y político, mientras los sectores vulnerables enfrentan exclusión y pobreza persistente.</w:t>
      </w:r>
    </w:p>
    <w:p>
      <w:pPr>
        <w:pStyle w:val="Normal"/>
        <w:numPr>
          <w:ilvl w:val="0"/>
          <w:numId w:val="3"/>
        </w:numPr>
        <w:spacing w:lineRule="auto" w:line="240" w:before="0" w:afterAutospacing="1"/>
        <w:jc w:val="both"/>
        <w:rPr/>
      </w:pPr>
      <w:r>
        <w:rPr>
          <w:rFonts w:eastAsia="Times New Roman" w:cs="Times New Roman" w:ascii="Times New Roman" w:hAnsi="Times New Roman"/>
          <w:kern w:val="0"/>
          <w:lang w:eastAsia="es-MX"/>
          <w14:ligatures w14:val="none"/>
        </w:rPr>
        <w:t>Actividad 3: S11: Migraciones: La pérdida de confianza en las instituciones y la precariedad generada por la corrupción impulsan procesos migratorios, tanto internos como externos, en busca de mejores oportunidades y seguridad social.</w:t>
      </w:r>
    </w:p>
    <w:p>
      <w:pPr>
        <w:pStyle w:val="Normal"/>
        <w:spacing w:lineRule="auto" w:line="240" w:before="0" w:after="0"/>
        <w:rPr>
          <w:rFonts w:ascii="Times New Roman" w:hAnsi="Times New Roman" w:eastAsia="Times New Roman" w:cs="Times New Roman"/>
          <w:kern w:val="0"/>
          <w:lang w:eastAsia="es-MX"/>
          <w14:ligatures w14:val="none"/>
        </w:rPr>
      </w:pPr>
      <w:r>
        <w:rPr/>
        <mc:AlternateContent>
          <mc:Choice Requires="wps">
            <w:drawing>
              <wp:inline distT="0" distB="0" distL="0" distR="0">
                <wp:extent cx="5612765" cy="1270"/>
                <wp:effectExtent l="0" t="0" r="0" b="0"/>
                <wp:docPr id="3" name=""/>
                <a:graphic xmlns:a="http://schemas.openxmlformats.org/drawingml/2006/main">
                  <a:graphicData uri="http://schemas.microsoft.com/office/word/2010/wordprocessingShape">
                    <wps:wsp>
                      <wps:cNvSpPr/>
                      <wps:nvSpPr>
                        <wps:cNvPr id="2" name="Rectangle 1"/>
                        <wps:cNvSpPr/>
                      </wps:nvSpPr>
                      <wps:spPr>
                        <a:xfrm>
                          <a:off x="0" y="0"/>
                          <a:ext cx="5612040" cy="72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0.1pt;width:441.85pt;height:0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kern w:val="0"/>
          <w:sz w:val="27"/>
          <w:szCs w:val="27"/>
          <w:lang w:eastAsia="es-MX"/>
          <w14:ligatures w14:val="none"/>
        </w:rPr>
      </w:pPr>
      <w:r>
        <w:rPr>
          <w:rFonts w:eastAsia="Times New Roman" w:cs="Times New Roman" w:ascii="Times New Roman" w:hAnsi="Times New Roman"/>
          <w:b/>
          <w:bCs/>
          <w:kern w:val="0"/>
          <w:sz w:val="27"/>
          <w:szCs w:val="27"/>
          <w:lang w:eastAsia="es-MX"/>
          <w14:ligatures w14:val="none"/>
        </w:rPr>
        <w:t xml:space="preserve">2. Análisis de perspectivas teóricas </w:t>
      </w:r>
    </w:p>
    <w:p>
      <w:pPr>
        <w:pStyle w:val="Normal"/>
        <w:spacing w:lineRule="auto" w:line="240" w:beforeAutospacing="1" w:afterAutospacing="1"/>
        <w:rPr>
          <w:rFonts w:ascii="Times New Roman" w:hAnsi="Times New Roman" w:eastAsia="Times New Roman" w:cs="Times New Roman"/>
          <w:kern w:val="0"/>
          <w:lang w:eastAsia="es-MX"/>
          <w14:ligatures w14:val="none"/>
        </w:rPr>
      </w:pPr>
      <w:r>
        <w:rPr>
          <w:rFonts w:eastAsia="Times New Roman" w:cs="Times New Roman" w:ascii="Times New Roman" w:hAnsi="Times New Roman"/>
          <w:b/>
          <w:bCs/>
          <w:kern w:val="0"/>
          <w:lang w:eastAsia="es-MX"/>
          <w14:ligatures w14:val="none"/>
        </w:rPr>
        <w:t>Objetivo:</w:t>
      </w:r>
      <w:r>
        <w:rPr>
          <w:rFonts w:eastAsia="Times New Roman" w:cs="Times New Roman" w:ascii="Times New Roman" w:hAnsi="Times New Roman"/>
          <w:kern w:val="0"/>
          <w:lang w:eastAsia="es-MX"/>
          <w14:ligatures w14:val="none"/>
        </w:rPr>
        <w:t xml:space="preserve"> Comparar posturas de autores y determinar limitaciones con pensamiento crítico.</w:t>
      </w:r>
    </w:p>
    <w:p>
      <w:pPr>
        <w:pStyle w:val="Normal"/>
        <w:spacing w:lineRule="auto" w:line="240" w:beforeAutospacing="1" w:afterAutospacing="1"/>
        <w:rPr>
          <w:rFonts w:ascii="Times New Roman" w:hAnsi="Times New Roman" w:eastAsia="Times New Roman" w:cs="Times New Roman"/>
          <w:kern w:val="0"/>
          <w:lang w:eastAsia="es-MX"/>
          <w14:ligatures w14:val="none"/>
        </w:rPr>
      </w:pPr>
      <w:r>
        <w:rPr>
          <w:rFonts w:eastAsia="Times New Roman" w:cs="Times New Roman" w:ascii="Times New Roman" w:hAnsi="Times New Roman"/>
          <w:b/>
          <w:bCs/>
          <w:kern w:val="0"/>
          <w:lang w:eastAsia="es-MX"/>
          <w14:ligatures w14:val="none"/>
        </w:rPr>
        <w:t>2.1. Tabla comparativa de autores</w:t>
      </w:r>
    </w:p>
    <w:tbl>
      <w:tblPr>
        <w:tblStyle w:val="Tablaconcuadrcula"/>
        <w:tblW w:w="9075" w:type="dxa"/>
        <w:jc w:val="left"/>
        <w:tblInd w:w="0" w:type="dxa"/>
        <w:tblCellMar>
          <w:top w:w="0" w:type="dxa"/>
          <w:left w:w="108" w:type="dxa"/>
          <w:bottom w:w="0" w:type="dxa"/>
          <w:right w:w="108" w:type="dxa"/>
        </w:tblCellMar>
        <w:tblLook w:firstRow="1" w:noVBand="1" w:lastRow="0" w:firstColumn="1" w:lastColumn="0" w:noHBand="0" w:val="04a0"/>
      </w:tblPr>
      <w:tblGrid>
        <w:gridCol w:w="1590"/>
        <w:gridCol w:w="795"/>
        <w:gridCol w:w="3390"/>
        <w:gridCol w:w="3300"/>
      </w:tblGrid>
      <w:tr>
        <w:trPr/>
        <w:tc>
          <w:tcPr>
            <w:tcW w:w="1590"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Autor/a</w:t>
            </w:r>
          </w:p>
        </w:tc>
        <w:tc>
          <w:tcPr>
            <w:tcW w:w="795"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Año</w:t>
            </w:r>
          </w:p>
        </w:tc>
        <w:tc>
          <w:tcPr>
            <w:tcW w:w="3390"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Postura / Enfoque principal</w:t>
            </w:r>
          </w:p>
        </w:tc>
        <w:tc>
          <w:tcPr>
            <w:tcW w:w="3300"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Limitaciones identificadas</w:t>
            </w:r>
          </w:p>
        </w:tc>
      </w:tr>
      <w:tr>
        <w:trPr/>
        <w:tc>
          <w:tcPr>
            <w:tcW w:w="1590" w:type="dxa"/>
            <w:tcBorders/>
            <w:shd w:fill="auto" w:val="clear"/>
          </w:tcPr>
          <w:p>
            <w:pPr>
              <w:pStyle w:val="Normal"/>
              <w:spacing w:lineRule="auto" w:line="240" w:before="0" w:after="0"/>
              <w:rPr>
                <w:rFonts w:ascii="Times New Roman" w:hAnsi="Times New Roman" w:eastAsia="Times New Roman" w:cs="Times New Roman"/>
                <w:kern w:val="0"/>
                <w:lang w:eastAsia="es-MX"/>
                <w14:ligatures w14:val="none"/>
              </w:rPr>
            </w:pPr>
            <w:r>
              <w:rPr>
                <w:rFonts w:eastAsia="Times New Roman" w:cs="Times New Roman" w:ascii="Times New Roman" w:hAnsi="Times New Roman"/>
                <w:kern w:val="0"/>
                <w:lang w:eastAsia="es-MX"/>
                <w14:ligatures w14:val="none"/>
              </w:rPr>
              <w:t xml:space="preserve">Incio, J., &amp; Seifert, M </w:t>
            </w:r>
          </w:p>
        </w:tc>
        <w:tc>
          <w:tcPr>
            <w:tcW w:w="795" w:type="dxa"/>
            <w:tcBorders/>
            <w:shd w:fill="auto" w:val="clear"/>
          </w:tcPr>
          <w:p>
            <w:pPr>
              <w:pStyle w:val="Normal"/>
              <w:spacing w:lineRule="auto" w:line="240" w:before="0" w:after="0"/>
              <w:rPr>
                <w:rFonts w:ascii="Times New Roman" w:hAnsi="Times New Roman" w:eastAsia="Times New Roman" w:cs="Times New Roman"/>
                <w:kern w:val="0"/>
                <w:lang w:eastAsia="es-MX"/>
                <w14:ligatures w14:val="none"/>
              </w:rPr>
            </w:pPr>
            <w:r>
              <w:rPr>
                <w:rFonts w:eastAsia="Times New Roman" w:cs="Times New Roman" w:ascii="Times New Roman" w:hAnsi="Times New Roman"/>
                <w:kern w:val="0"/>
                <w:lang w:eastAsia="es-MX"/>
                <w14:ligatures w14:val="none"/>
              </w:rPr>
              <w:t>2024</w:t>
            </w:r>
          </w:p>
        </w:tc>
        <w:tc>
          <w:tcPr>
            <w:tcW w:w="3390"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 xml:space="preserve">Estudio experimental que demuestra que la percepción de corrupción puede aumentar la propensión individual a sobornar, evidenciando el papel de las normas sociales </w:t>
            </w:r>
          </w:p>
        </w:tc>
        <w:tc>
          <w:tcPr>
            <w:tcW w:w="3300"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 xml:space="preserve">Enfocado solo en el contexto peruano y urbano; no incluye variables estructurales. </w:t>
            </w:r>
          </w:p>
        </w:tc>
      </w:tr>
      <w:tr>
        <w:trPr/>
        <w:tc>
          <w:tcPr>
            <w:tcW w:w="1590" w:type="dxa"/>
            <w:tcBorders/>
            <w:shd w:fill="auto" w:val="clear"/>
          </w:tcPr>
          <w:p>
            <w:pPr>
              <w:pStyle w:val="Normal"/>
              <w:spacing w:lineRule="auto" w:line="240" w:before="0" w:after="0"/>
              <w:rPr>
                <w:rFonts w:ascii="Times New Roman" w:hAnsi="Times New Roman" w:eastAsia="Times New Roman" w:cs="Times New Roman"/>
                <w:kern w:val="0"/>
                <w:lang w:eastAsia="es-MX"/>
                <w14:ligatures w14:val="none"/>
              </w:rPr>
            </w:pPr>
            <w:r>
              <w:rPr>
                <w:rFonts w:eastAsia="Times New Roman" w:cs="Times New Roman" w:ascii="Times New Roman" w:hAnsi="Times New Roman"/>
                <w:kern w:val="0"/>
                <w:lang w:eastAsia="es-MX"/>
                <w14:ligatures w14:val="none"/>
              </w:rPr>
              <w:t xml:space="preserve">Davidović, D. </w:t>
            </w:r>
          </w:p>
        </w:tc>
        <w:tc>
          <w:tcPr>
            <w:tcW w:w="795" w:type="dxa"/>
            <w:tcBorders/>
            <w:shd w:fill="auto" w:val="clear"/>
          </w:tcPr>
          <w:p>
            <w:pPr>
              <w:pStyle w:val="Normal"/>
              <w:spacing w:lineRule="auto" w:line="240" w:before="0" w:after="0"/>
              <w:rPr>
                <w:rFonts w:ascii="Times New Roman" w:hAnsi="Times New Roman" w:eastAsia="Times New Roman" w:cs="Times New Roman"/>
                <w:kern w:val="0"/>
                <w:lang w:eastAsia="es-MX"/>
                <w14:ligatures w14:val="none"/>
              </w:rPr>
            </w:pPr>
            <w:r>
              <w:rPr>
                <w:rFonts w:eastAsia="Times New Roman" w:cs="Times New Roman" w:ascii="Times New Roman" w:hAnsi="Times New Roman"/>
                <w:kern w:val="0"/>
                <w:lang w:eastAsia="es-MX"/>
                <w14:ligatures w14:val="none"/>
              </w:rPr>
              <w:t>2024</w:t>
            </w:r>
          </w:p>
        </w:tc>
        <w:tc>
          <w:tcPr>
            <w:tcW w:w="3390"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 xml:space="preserve">Análisis comparativo que muestra cómo la percepción de corrupción reduce la confianza institucional y la cooperación ciudadana, afectando el apoyo a políticas públicas. </w:t>
            </w:r>
          </w:p>
        </w:tc>
        <w:tc>
          <w:tcPr>
            <w:tcW w:w="3300"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 xml:space="preserve">Se centra en el caso de impuestos ambientales; falta de datos longitudinales. </w:t>
            </w:r>
          </w:p>
        </w:tc>
      </w:tr>
    </w:tbl>
    <w:p>
      <w:pPr>
        <w:pStyle w:val="TextBody"/>
        <w:numPr>
          <w:ilvl w:val="0"/>
          <w:numId w:val="6"/>
        </w:numPr>
        <w:spacing w:lineRule="auto" w:line="240" w:beforeAutospacing="1" w:afterAutospacing="1"/>
        <w:rPr/>
      </w:pPr>
      <w:r>
        <w:rPr>
          <w:rStyle w:val="Emphasis"/>
          <w:rFonts w:eastAsia="Times New Roman" w:cs="Times New Roman" w:ascii="Times New Roman" w:hAnsi="Times New Roman"/>
          <w:i w:val="false"/>
          <w:iCs w:val="false"/>
          <w:kern w:val="0"/>
          <w:lang w:eastAsia="es-MX"/>
          <w14:ligatures w14:val="none"/>
        </w:rPr>
        <w:t>Incio y Seifert (2024)</w:t>
      </w:r>
      <w:r>
        <w:rPr>
          <w:rFonts w:eastAsia="Times New Roman" w:cs="Times New Roman" w:ascii="Times New Roman" w:hAnsi="Times New Roman"/>
          <w:i w:val="false"/>
          <w:iCs w:val="false"/>
          <w:kern w:val="0"/>
          <w:lang w:eastAsia="es-MX"/>
          <w14:ligatures w14:val="none"/>
        </w:rPr>
        <w:t xml:space="preserve"> afirman que "la exposición a mensajes que normalizan la corrupción incrementa la disposición a sobornar" (p. 4).</w:t>
      </w:r>
    </w:p>
    <w:p>
      <w:pPr>
        <w:pStyle w:val="TextBody"/>
        <w:numPr>
          <w:ilvl w:val="0"/>
          <w:numId w:val="5"/>
        </w:numPr>
        <w:tabs>
          <w:tab w:val="clear" w:pos="708"/>
          <w:tab w:val="left" w:pos="0" w:leader="none"/>
        </w:tabs>
        <w:ind w:left="720" w:hanging="283"/>
        <w:rPr/>
      </w:pPr>
      <w:r>
        <w:rPr>
          <w:rStyle w:val="Emphasis"/>
          <w:i w:val="false"/>
          <w:iCs w:val="false"/>
        </w:rPr>
        <w:t>Davidović (2024)</w:t>
      </w:r>
      <w:r>
        <w:rPr>
          <w:i w:val="false"/>
          <w:iCs w:val="false"/>
        </w:rPr>
        <w:t xml:space="preserve"> sostiene que "la percepción de corrupción reduce la confianza en la capacidad del Estado para usar los impuestos con fines públicos" (p. 7).</w:t>
      </w:r>
    </w:p>
    <w:p>
      <w:pPr>
        <w:pStyle w:val="Normal"/>
        <w:spacing w:lineRule="auto" w:line="240" w:beforeAutospacing="1" w:afterAutospacing="1"/>
        <w:rPr>
          <w:rFonts w:ascii="Times New Roman" w:hAnsi="Times New Roman" w:eastAsia="Times New Roman" w:cs="Times New Roman"/>
          <w:i/>
          <w:i/>
          <w:iCs/>
          <w:kern w:val="0"/>
          <w:lang w:eastAsia="es-MX"/>
          <w14:ligatures w14:val="none"/>
        </w:rPr>
      </w:pPr>
      <w:r>
        <w:rPr/>
      </w:r>
    </w:p>
    <w:p>
      <w:pPr>
        <w:pStyle w:val="Normal"/>
        <w:spacing w:lineRule="auto" w:line="240" w:before="0" w:after="0"/>
        <w:rPr>
          <w:rFonts w:ascii="Times New Roman" w:hAnsi="Times New Roman" w:eastAsia="Times New Roman" w:cs="Times New Roman"/>
          <w:kern w:val="0"/>
          <w:lang w:eastAsia="es-MX"/>
          <w14:ligatures w14:val="none"/>
        </w:rPr>
      </w:pPr>
      <w:r>
        <w:rPr/>
        <mc:AlternateContent>
          <mc:Choice Requires="wps">
            <w:drawing>
              <wp:inline distT="0" distB="0" distL="0" distR="0">
                <wp:extent cx="5612765" cy="1270"/>
                <wp:effectExtent l="0" t="0" r="0" b="0"/>
                <wp:docPr id="4" name=""/>
                <a:graphic xmlns:a="http://schemas.openxmlformats.org/drawingml/2006/main">
                  <a:graphicData uri="http://schemas.microsoft.com/office/word/2010/wordprocessingShape">
                    <wps:wsp>
                      <wps:cNvSpPr/>
                      <wps:nvSpPr>
                        <wps:cNvPr id="3" name="Rectangle 1"/>
                        <wps:cNvSpPr/>
                      </wps:nvSpPr>
                      <wps:spPr>
                        <a:xfrm>
                          <a:off x="0" y="0"/>
                          <a:ext cx="5612040" cy="72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0.1pt;width:441.85pt;height:0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kern w:val="0"/>
          <w:sz w:val="27"/>
          <w:szCs w:val="27"/>
          <w:lang w:eastAsia="es-MX"/>
          <w14:ligatures w14:val="none"/>
        </w:rPr>
      </w:pPr>
      <w:r>
        <w:rPr>
          <w:rFonts w:eastAsia="Times New Roman" w:cs="Times New Roman" w:ascii="Times New Roman" w:hAnsi="Times New Roman"/>
          <w:b/>
          <w:bCs/>
          <w:kern w:val="0"/>
          <w:sz w:val="27"/>
          <w:szCs w:val="27"/>
          <w:lang w:eastAsia="es-MX"/>
          <w14:ligatures w14:val="none"/>
        </w:rPr>
        <w:t xml:space="preserve">3. Estrategias de acción </w:t>
      </w:r>
    </w:p>
    <w:p>
      <w:pPr>
        <w:pStyle w:val="Normal"/>
        <w:spacing w:lineRule="auto" w:line="240" w:beforeAutospacing="1" w:afterAutospacing="1"/>
        <w:rPr>
          <w:rFonts w:ascii="Times New Roman" w:hAnsi="Times New Roman" w:eastAsia="Times New Roman" w:cs="Times New Roman"/>
          <w:kern w:val="0"/>
          <w:lang w:eastAsia="es-MX"/>
          <w14:ligatures w14:val="none"/>
        </w:rPr>
      </w:pPr>
      <w:r>
        <w:rPr>
          <w:rFonts w:eastAsia="Times New Roman" w:cs="Times New Roman" w:ascii="Times New Roman" w:hAnsi="Times New Roman"/>
          <w:b/>
          <w:bCs/>
          <w:kern w:val="0"/>
          <w:lang w:eastAsia="es-MX"/>
          <w14:ligatures w14:val="none"/>
        </w:rPr>
        <w:t>Objetivo:</w:t>
      </w:r>
      <w:r>
        <w:rPr>
          <w:rFonts w:eastAsia="Times New Roman" w:cs="Times New Roman" w:ascii="Times New Roman" w:hAnsi="Times New Roman"/>
          <w:kern w:val="0"/>
          <w:lang w:eastAsia="es-MX"/>
          <w14:ligatures w14:val="none"/>
        </w:rPr>
        <w:t xml:space="preserve"> Examinar estrategias implementadas considerando pertinencia cultural.</w:t>
      </w:r>
    </w:p>
    <w:tbl>
      <w:tblPr>
        <w:tblStyle w:val="Tablaconcuadrcula"/>
        <w:tblW w:w="8828" w:type="dxa"/>
        <w:jc w:val="left"/>
        <w:tblInd w:w="0" w:type="dxa"/>
        <w:tblCellMar>
          <w:top w:w="0" w:type="dxa"/>
          <w:left w:w="108" w:type="dxa"/>
          <w:bottom w:w="0" w:type="dxa"/>
          <w:right w:w="108" w:type="dxa"/>
        </w:tblCellMar>
        <w:tblLook w:firstRow="1" w:noVBand="1" w:lastRow="0" w:firstColumn="1" w:lastColumn="0" w:noHBand="0" w:val="04a0"/>
      </w:tblPr>
      <w:tblGrid>
        <w:gridCol w:w="1291"/>
        <w:gridCol w:w="2695"/>
        <w:gridCol w:w="1585"/>
        <w:gridCol w:w="1603"/>
        <w:gridCol w:w="1654"/>
      </w:tblGrid>
      <w:tr>
        <w:trPr/>
        <w:tc>
          <w:tcPr>
            <w:tcW w:w="1291"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Estrategia</w:t>
            </w:r>
          </w:p>
        </w:tc>
        <w:tc>
          <w:tcPr>
            <w:tcW w:w="2695"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Institución/Entidad que la implementa</w:t>
            </w:r>
          </w:p>
        </w:tc>
        <w:tc>
          <w:tcPr>
            <w:tcW w:w="1585"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Descripción breve</w:t>
            </w:r>
          </w:p>
        </w:tc>
        <w:tc>
          <w:tcPr>
            <w:tcW w:w="1603"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Pertinencia cultural</w:t>
            </w:r>
          </w:p>
        </w:tc>
        <w:tc>
          <w:tcPr>
            <w:tcW w:w="1654" w:type="dxa"/>
            <w:tcBorders/>
            <w:shd w:fill="auto" w:val="clear"/>
          </w:tcPr>
          <w:p>
            <w:pPr>
              <w:pStyle w:val="Normal"/>
              <w:spacing w:lineRule="auto" w:line="240" w:before="0" w:after="0"/>
              <w:jc w:val="center"/>
              <w:rPr>
                <w:rFonts w:ascii="Times New Roman" w:hAnsi="Times New Roman" w:eastAsia="Times New Roman" w:cs="Times New Roman"/>
                <w:b/>
                <w:b/>
                <w:bCs/>
                <w:kern w:val="0"/>
                <w:lang w:eastAsia="es-MX"/>
                <w14:ligatures w14:val="none"/>
              </w:rPr>
            </w:pPr>
            <w:r>
              <w:rPr>
                <w:rFonts w:eastAsia="Times New Roman" w:cs="Times New Roman" w:ascii="Times New Roman" w:hAnsi="Times New Roman"/>
                <w:b/>
                <w:bCs/>
                <w:kern w:val="0"/>
                <w:lang w:eastAsia="es-MX"/>
                <w14:ligatures w14:val="none"/>
              </w:rPr>
              <w:t>Resultados observados</w:t>
            </w:r>
          </w:p>
        </w:tc>
      </w:tr>
      <w:tr>
        <w:trPr/>
        <w:tc>
          <w:tcPr>
            <w:tcW w:w="1291" w:type="dxa"/>
            <w:tcBorders/>
            <w:shd w:fill="auto" w:val="clear"/>
          </w:tcPr>
          <w:p>
            <w:pPr>
              <w:pStyle w:val="Normal"/>
              <w:spacing w:lineRule="auto" w:line="240" w:before="0" w:after="0"/>
              <w:rPr/>
            </w:pPr>
            <w:r>
              <w:rPr>
                <w:rFonts w:eastAsia="Times New Roman" w:cs="Times New Roman" w:ascii="Times New Roman" w:hAnsi="Times New Roman"/>
                <w:kern w:val="0"/>
                <w:lang w:eastAsia="es-MX"/>
                <w14:ligatures w14:val="none"/>
              </w:rPr>
              <w:t>Transparencia digital</w:t>
            </w:r>
          </w:p>
        </w:tc>
        <w:tc>
          <w:tcPr>
            <w:tcW w:w="2695" w:type="dxa"/>
            <w:tcBorders/>
            <w:shd w:fill="auto" w:val="clear"/>
          </w:tcPr>
          <w:p>
            <w:pPr>
              <w:pStyle w:val="Normal"/>
              <w:spacing w:lineRule="auto" w:line="240" w:before="0" w:after="0"/>
              <w:rPr>
                <w:rFonts w:ascii="Times New Roman" w:hAnsi="Times New Roman" w:eastAsia="Times New Roman" w:cs="Times New Roman"/>
                <w:kern w:val="0"/>
                <w:lang w:eastAsia="es-MX"/>
                <w14:ligatures w14:val="none"/>
              </w:rPr>
            </w:pPr>
            <w:r>
              <w:rPr>
                <w:rFonts w:eastAsia="Times New Roman" w:cs="Times New Roman" w:ascii="Times New Roman" w:hAnsi="Times New Roman"/>
                <w:kern w:val="0"/>
                <w:lang w:eastAsia="es-MX"/>
                <w14:ligatures w14:val="none"/>
              </w:rPr>
              <w:t xml:space="preserve">Secretaría de Integridad Pública (Perú) / Secretaría de la Función Pública (México) </w:t>
            </w:r>
          </w:p>
        </w:tc>
        <w:tc>
          <w:tcPr>
            <w:tcW w:w="1585"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 xml:space="preserve">Portales de datos abiertos y monitoreo ciudadano de licitaciones y presupuestos. </w:t>
            </w:r>
          </w:p>
        </w:tc>
        <w:tc>
          <w:tcPr>
            <w:tcW w:w="1603"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Alta</w:t>
            </w:r>
          </w:p>
        </w:tc>
        <w:tc>
          <w:tcPr>
            <w:tcW w:w="1654"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 xml:space="preserve">Reducción de discrecionalidad en contrataciones. </w:t>
            </w:r>
          </w:p>
        </w:tc>
      </w:tr>
      <w:tr>
        <w:trPr/>
        <w:tc>
          <w:tcPr>
            <w:tcW w:w="1291" w:type="dxa"/>
            <w:tcBorders/>
            <w:shd w:fill="auto" w:val="clear"/>
          </w:tcPr>
          <w:p>
            <w:pPr>
              <w:pStyle w:val="Normal"/>
              <w:spacing w:lineRule="auto" w:line="240" w:before="0" w:after="0"/>
              <w:rPr/>
            </w:pPr>
            <w:r>
              <w:rPr>
                <w:rFonts w:eastAsia="Times New Roman" w:cs="Times New Roman" w:ascii="Times New Roman" w:hAnsi="Times New Roman"/>
                <w:kern w:val="0"/>
                <w:lang w:eastAsia="es-MX"/>
                <w14:ligatures w14:val="none"/>
              </w:rPr>
              <w:t>Profesionalización del servicio civil</w:t>
            </w:r>
          </w:p>
        </w:tc>
        <w:tc>
          <w:tcPr>
            <w:tcW w:w="2695" w:type="dxa"/>
            <w:tcBorders/>
            <w:shd w:fill="auto" w:val="clear"/>
          </w:tcPr>
          <w:p>
            <w:pPr>
              <w:pStyle w:val="Normal"/>
              <w:spacing w:lineRule="auto" w:line="240" w:before="0" w:after="0"/>
              <w:rPr>
                <w:rFonts w:ascii="Times New Roman" w:hAnsi="Times New Roman" w:eastAsia="Times New Roman" w:cs="Times New Roman"/>
                <w:kern w:val="0"/>
                <w:lang w:eastAsia="es-MX"/>
                <w14:ligatures w14:val="none"/>
              </w:rPr>
            </w:pPr>
            <w:r>
              <w:rPr>
                <w:rFonts w:eastAsia="Times New Roman" w:cs="Times New Roman" w:ascii="Times New Roman" w:hAnsi="Times New Roman"/>
                <w:kern w:val="0"/>
                <w:lang w:eastAsia="es-MX"/>
                <w14:ligatures w14:val="none"/>
              </w:rPr>
              <w:t xml:space="preserve">SERVIR (Perú) / INAP (México) </w:t>
            </w:r>
          </w:p>
        </w:tc>
        <w:tc>
          <w:tcPr>
            <w:tcW w:w="1585"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 xml:space="preserve">Procesos meritocráticos y control de nepotismo. </w:t>
            </w:r>
          </w:p>
        </w:tc>
        <w:tc>
          <w:tcPr>
            <w:tcW w:w="1603"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Alta</w:t>
            </w:r>
          </w:p>
        </w:tc>
        <w:tc>
          <w:tcPr>
            <w:tcW w:w="1654"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Mejora de confianza y eficiencia administrati</w:t>
            </w:r>
            <w:r>
              <w:rPr>
                <w:rFonts w:eastAsia="Times New Roman" w:cs="Times New Roman" w:ascii="Times New Roman" w:hAnsi="Times New Roman"/>
                <w:kern w:val="0"/>
                <w:sz w:val="20"/>
                <w:szCs w:val="20"/>
                <w:lang w:eastAsia="es-MX"/>
                <w14:ligatures w14:val="none"/>
              </w:rPr>
              <w:t>va</w:t>
            </w:r>
          </w:p>
        </w:tc>
      </w:tr>
      <w:tr>
        <w:trPr/>
        <w:tc>
          <w:tcPr>
            <w:tcW w:w="1291" w:type="dxa"/>
            <w:tcBorders/>
            <w:shd w:fill="auto" w:val="clear"/>
          </w:tcPr>
          <w:p>
            <w:pPr>
              <w:pStyle w:val="Normal"/>
              <w:spacing w:lineRule="auto" w:line="240" w:before="0" w:after="0"/>
              <w:rPr/>
            </w:pPr>
            <w:r>
              <w:rPr>
                <w:rFonts w:eastAsia="Times New Roman" w:cs="Times New Roman" w:ascii="Times New Roman" w:hAnsi="Times New Roman"/>
                <w:kern w:val="0"/>
                <w:lang w:eastAsia="es-MX"/>
                <w14:ligatures w14:val="none"/>
              </w:rPr>
              <w:t>Educación ética y cívica</w:t>
            </w:r>
          </w:p>
        </w:tc>
        <w:tc>
          <w:tcPr>
            <w:tcW w:w="2695" w:type="dxa"/>
            <w:tcBorders/>
            <w:shd w:fill="auto" w:val="clear"/>
          </w:tcPr>
          <w:p>
            <w:pPr>
              <w:pStyle w:val="Normal"/>
              <w:spacing w:lineRule="auto" w:line="240" w:before="0" w:after="0"/>
              <w:rPr>
                <w:rFonts w:ascii="Times New Roman" w:hAnsi="Times New Roman" w:eastAsia="Times New Roman" w:cs="Times New Roman"/>
                <w:kern w:val="0"/>
                <w:lang w:eastAsia="es-MX"/>
                <w14:ligatures w14:val="none"/>
              </w:rPr>
            </w:pPr>
            <w:r>
              <w:rPr>
                <w:rFonts w:eastAsia="Times New Roman" w:cs="Times New Roman" w:ascii="Times New Roman" w:hAnsi="Times New Roman"/>
                <w:kern w:val="0"/>
                <w:lang w:eastAsia="es-MX"/>
                <w14:ligatures w14:val="none"/>
              </w:rPr>
              <w:t xml:space="preserve">MINEDU (Perú) / SEP (México) </w:t>
            </w:r>
          </w:p>
        </w:tc>
        <w:tc>
          <w:tcPr>
            <w:tcW w:w="1585"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C</w:t>
            </w:r>
            <w:r>
              <w:rPr>
                <w:rFonts w:eastAsia="Times New Roman" w:cs="Times New Roman" w:ascii="Times New Roman" w:hAnsi="Times New Roman"/>
                <w:kern w:val="0"/>
                <w:sz w:val="20"/>
                <w:szCs w:val="20"/>
                <w:lang w:eastAsia="es-MX"/>
                <w14:ligatures w14:val="none"/>
              </w:rPr>
              <w:t xml:space="preserve">ampañas educativas y de valores cívicos para reducir la tolerancia social a la corrupción. </w:t>
            </w:r>
          </w:p>
        </w:tc>
        <w:tc>
          <w:tcPr>
            <w:tcW w:w="1603"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Media</w:t>
            </w:r>
          </w:p>
        </w:tc>
        <w:tc>
          <w:tcPr>
            <w:tcW w:w="1654" w:type="dxa"/>
            <w:tcBorders/>
            <w:shd w:fill="auto" w:val="clear"/>
          </w:tcPr>
          <w:p>
            <w:pPr>
              <w:pStyle w:val="Normal"/>
              <w:spacing w:lineRule="auto" w:line="240" w:before="0" w:after="0"/>
              <w:rPr>
                <w:rFonts w:ascii="Times New Roman" w:hAnsi="Times New Roman" w:eastAsia="Times New Roman" w:cs="Times New Roman"/>
                <w:kern w:val="0"/>
                <w:sz w:val="20"/>
                <w:szCs w:val="20"/>
                <w:lang w:eastAsia="es-MX"/>
                <w14:ligatures w14:val="none"/>
              </w:rPr>
            </w:pPr>
            <w:r>
              <w:rPr>
                <w:rFonts w:eastAsia="Times New Roman" w:cs="Times New Roman" w:ascii="Times New Roman" w:hAnsi="Times New Roman"/>
                <w:kern w:val="0"/>
                <w:sz w:val="20"/>
                <w:szCs w:val="20"/>
                <w:lang w:eastAsia="es-MX"/>
                <w14:ligatures w14:val="none"/>
              </w:rPr>
              <w:t xml:space="preserve">Cambios actitudinales graduales en población jóven. </w:t>
            </w:r>
          </w:p>
        </w:tc>
      </w:tr>
    </w:tbl>
    <w:p>
      <w:pPr>
        <w:pStyle w:val="Normal"/>
        <w:spacing w:lineRule="auto" w:line="240" w:before="0" w:after="0"/>
        <w:rPr>
          <w:rFonts w:ascii="Times New Roman" w:hAnsi="Times New Roman" w:eastAsia="Times New Roman" w:cs="Times New Roman"/>
          <w:kern w:val="0"/>
          <w:lang w:eastAsia="es-MX"/>
          <w14:ligatures w14:val="none"/>
        </w:rPr>
      </w:pPr>
      <w:r>
        <w:rPr/>
        <mc:AlternateContent>
          <mc:Choice Requires="wps">
            <w:drawing>
              <wp:inline distT="0" distB="0" distL="0" distR="0">
                <wp:extent cx="5612765" cy="1270"/>
                <wp:effectExtent l="0" t="0" r="0" b="0"/>
                <wp:docPr id="5" name=""/>
                <a:graphic xmlns:a="http://schemas.openxmlformats.org/drawingml/2006/main">
                  <a:graphicData uri="http://schemas.microsoft.com/office/word/2010/wordprocessingShape">
                    <wps:wsp>
                      <wps:cNvSpPr/>
                      <wps:nvSpPr>
                        <wps:cNvPr id="4" name="Rectangle 1"/>
                        <wps:cNvSpPr/>
                      </wps:nvSpPr>
                      <wps:spPr>
                        <a:xfrm>
                          <a:off x="0" y="0"/>
                          <a:ext cx="5612040" cy="72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0.1pt;width:441.85pt;height:0pt;mso-position-horizontal:center;mso-position-vertical:top">
                <w10:wrap type="none"/>
                <v:fill o:detectmouseclick="t" type="solid" color2="#5f5f5f"/>
                <v:stroke color="#3465a4" joinstyle="round" endcap="flat"/>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kern w:val="0"/>
          <w:sz w:val="27"/>
          <w:szCs w:val="27"/>
          <w:lang w:eastAsia="es-MX"/>
          <w14:ligatures w14:val="none"/>
        </w:rPr>
      </w:pPr>
      <w:r>
        <w:rPr>
          <w:rFonts w:eastAsia="Times New Roman" w:cs="Times New Roman" w:ascii="Times New Roman" w:hAnsi="Times New Roman"/>
          <w:b/>
          <w:bCs/>
          <w:kern w:val="0"/>
          <w:sz w:val="27"/>
          <w:szCs w:val="27"/>
          <w:lang w:eastAsia="es-MX"/>
          <w14:ligatures w14:val="none"/>
        </w:rPr>
        <w:t>4. Referencias Bibliográficas</w:t>
      </w:r>
    </w:p>
    <w:p>
      <w:pPr>
        <w:pStyle w:val="Normal"/>
        <w:spacing w:lineRule="auto" w:line="240" w:beforeAutospacing="1" w:afterAutospacing="1"/>
        <w:rPr>
          <w:rFonts w:ascii="Times New Roman" w:hAnsi="Times New Roman" w:eastAsia="Times New Roman" w:cs="Times New Roman"/>
          <w:kern w:val="0"/>
          <w:lang w:eastAsia="es-MX"/>
          <w14:ligatures w14:val="none"/>
        </w:rPr>
      </w:pPr>
      <w:r>
        <w:rPr>
          <w:rFonts w:eastAsia="Times New Roman" w:cs="Times New Roman" w:ascii="Times New Roman" w:hAnsi="Times New Roman"/>
          <w:b/>
          <w:bCs/>
          <w:kern w:val="0"/>
          <w:lang w:eastAsia="es-MX"/>
          <w14:ligatures w14:val="none"/>
        </w:rPr>
        <w:t>Lista de fuentes y aportes</w:t>
      </w:r>
    </w:p>
    <w:p>
      <w:pPr>
        <w:pStyle w:val="TextBody"/>
        <w:numPr>
          <w:ilvl w:val="0"/>
          <w:numId w:val="4"/>
        </w:numPr>
        <w:spacing w:lineRule="auto" w:line="240" w:beforeAutospacing="1" w:after="0"/>
        <w:rPr/>
      </w:pPr>
      <w:r>
        <w:rPr>
          <w:rFonts w:eastAsia="Times New Roman" w:cs="Times New Roman" w:ascii="Times New Roman" w:hAnsi="Times New Roman"/>
          <w:kern w:val="0"/>
          <w:lang w:eastAsia="es-MX"/>
          <w14:ligatures w14:val="none"/>
        </w:rPr>
        <w:t xml:space="preserve">Davidović, D. (2024). </w:t>
      </w:r>
      <w:r>
        <w:rPr>
          <w:rStyle w:val="Emphasis"/>
          <w:rFonts w:eastAsia="Times New Roman" w:cs="Times New Roman" w:ascii="Times New Roman" w:hAnsi="Times New Roman"/>
          <w:kern w:val="0"/>
          <w:lang w:eastAsia="es-MX"/>
          <w14:ligatures w14:val="none"/>
        </w:rPr>
        <w:t>Does corruption shape attitudes towards carbon taxes? Evidence from a survey experiment in Sweden and Mexico.</w:t>
      </w:r>
      <w:r>
        <w:rPr>
          <w:rFonts w:eastAsia="Times New Roman" w:cs="Times New Roman" w:ascii="Times New Roman" w:hAnsi="Times New Roman"/>
          <w:kern w:val="0"/>
          <w:lang w:eastAsia="es-MX"/>
          <w14:ligatures w14:val="none"/>
        </w:rPr>
        <w:t xml:space="preserve"> </w:t>
      </w:r>
      <w:r>
        <w:rPr>
          <w:rStyle w:val="Emphasis"/>
          <w:rFonts w:eastAsia="Times New Roman" w:cs="Times New Roman" w:ascii="Times New Roman" w:hAnsi="Times New Roman"/>
          <w:kern w:val="0"/>
          <w:lang w:eastAsia="es-MX"/>
          <w14:ligatures w14:val="none"/>
        </w:rPr>
        <w:t>Energy Research &amp; Social Science, 108</w:t>
      </w:r>
      <w:r>
        <w:rPr>
          <w:rFonts w:eastAsia="Times New Roman" w:cs="Times New Roman" w:ascii="Times New Roman" w:hAnsi="Times New Roman"/>
          <w:kern w:val="0"/>
          <w:lang w:eastAsia="es-MX"/>
          <w14:ligatures w14:val="none"/>
        </w:rPr>
        <w:t xml:space="preserve">, 104838. </w:t>
      </w:r>
      <w:hyperlink r:id="rId3">
        <w:r>
          <w:rPr>
            <w:rStyle w:val="InternetLink"/>
            <w:rFonts w:eastAsia="Times New Roman" w:cs="Times New Roman" w:ascii="Times New Roman" w:hAnsi="Times New Roman"/>
            <w:kern w:val="0"/>
            <w:lang w:eastAsia="es-MX"/>
            <w14:ligatures w14:val="none"/>
          </w:rPr>
          <w:t>https://doi.org/10.1016/j.erss.2024.104838</w:t>
        </w:r>
      </w:hyperlink>
    </w:p>
    <w:p>
      <w:pPr>
        <w:pStyle w:val="TextBody"/>
        <w:numPr>
          <w:ilvl w:val="0"/>
          <w:numId w:val="4"/>
        </w:numPr>
        <w:spacing w:lineRule="auto" w:line="240" w:beforeAutospacing="1" w:after="0"/>
        <w:rPr/>
      </w:pPr>
      <w:r>
        <w:rPr/>
        <w:t xml:space="preserve">Incio, J., &amp; Seifert, M. (2024). </w:t>
      </w:r>
      <w:r>
        <w:rPr>
          <w:rStyle w:val="Emphasis"/>
        </w:rPr>
        <w:t>How the perception of corruption shapes the willingness to bribe: Evidence from an online experiment.</w:t>
      </w:r>
      <w:r>
        <w:rPr/>
        <w:t xml:space="preserve"> </w:t>
      </w:r>
      <w:r>
        <w:rPr>
          <w:rStyle w:val="Emphasis"/>
        </w:rPr>
        <w:t>International Journal of Public Opinion Research, 36</w:t>
      </w:r>
      <w:r>
        <w:rPr/>
        <w:t xml:space="preserve">(3), edae035. </w:t>
      </w:r>
      <w:hyperlink r:id="rId4">
        <w:r>
          <w:rPr>
            <w:rStyle w:val="InternetLink"/>
          </w:rPr>
          <w:t>https://doi.org/10.1093/ijpor/edae035</w:t>
        </w:r>
      </w:hyperlink>
    </w:p>
    <w:p>
      <w:pPr>
        <w:pStyle w:val="Normal"/>
        <w:numPr>
          <w:ilvl w:val="0"/>
          <w:numId w:val="0"/>
        </w:numPr>
        <w:spacing w:lineRule="auto" w:line="240" w:beforeAutospacing="1" w:after="0"/>
        <w:ind w:left="720" w:hanging="0"/>
        <w:rPr>
          <w:rFonts w:ascii="Times New Roman" w:hAnsi="Times New Roman" w:eastAsia="Times New Roman" w:cs="Times New Roman"/>
          <w:kern w:val="0"/>
          <w:lang w:eastAsia="es-MX"/>
          <w14:ligatures w14:val="none"/>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Times New Roman">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PE"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PE" w:eastAsia="en-US" w:bidi="ar-SA"/>
      <w14:ligatures w14:val="standardContextual"/>
    </w:rPr>
  </w:style>
  <w:style w:type="paragraph" w:styleId="Heading1">
    <w:name w:val="Heading 1"/>
    <w:basedOn w:val="Normal"/>
    <w:next w:val="Normal"/>
    <w:link w:val="Ttulo1Car"/>
    <w:uiPriority w:val="9"/>
    <w:qFormat/>
    <w:rsid w:val="0060464c"/>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unhideWhenUsed/>
    <w:qFormat/>
    <w:rsid w:val="0060464c"/>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unhideWhenUsed/>
    <w:qFormat/>
    <w:rsid w:val="0060464c"/>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60464c"/>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60464c"/>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60464c"/>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60464c"/>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60464c"/>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60464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60464c"/>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qFormat/>
    <w:rsid w:val="0060464c"/>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qFormat/>
    <w:rsid w:val="0060464c"/>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60464c"/>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60464c"/>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60464c"/>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60464c"/>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60464c"/>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60464c"/>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60464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60464c"/>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60464c"/>
    <w:rPr>
      <w:i/>
      <w:iCs/>
      <w:color w:val="404040" w:themeColor="text1" w:themeTint="bf"/>
    </w:rPr>
  </w:style>
  <w:style w:type="character" w:styleId="IntenseEmphasis">
    <w:name w:val="Intense Emphasis"/>
    <w:basedOn w:val="DefaultParagraphFont"/>
    <w:uiPriority w:val="21"/>
    <w:qFormat/>
    <w:rsid w:val="0060464c"/>
    <w:rPr>
      <w:i/>
      <w:iCs/>
      <w:color w:val="0F4761" w:themeColor="accent1" w:themeShade="bf"/>
    </w:rPr>
  </w:style>
  <w:style w:type="character" w:styleId="CitadestacadaCar" w:customStyle="1">
    <w:name w:val="Cita destacada Car"/>
    <w:basedOn w:val="DefaultParagraphFont"/>
    <w:link w:val="Citadestacada"/>
    <w:uiPriority w:val="30"/>
    <w:qFormat/>
    <w:rsid w:val="0060464c"/>
    <w:rPr>
      <w:i/>
      <w:iCs/>
      <w:color w:val="0F4761" w:themeColor="accent1" w:themeShade="bf"/>
    </w:rPr>
  </w:style>
  <w:style w:type="character" w:styleId="IntenseReference">
    <w:name w:val="Intense Reference"/>
    <w:basedOn w:val="DefaultParagraphFont"/>
    <w:uiPriority w:val="32"/>
    <w:qFormat/>
    <w:rsid w:val="0060464c"/>
    <w:rPr>
      <w:b/>
      <w:bCs/>
      <w:smallCaps/>
      <w:color w:val="0F4761" w:themeColor="accent1" w:themeShade="bf"/>
      <w:spacing w:val="5"/>
    </w:rPr>
  </w:style>
  <w:style w:type="character" w:styleId="Strong">
    <w:name w:val="Strong"/>
    <w:basedOn w:val="DefaultParagraphFont"/>
    <w:uiPriority w:val="22"/>
    <w:qFormat/>
    <w:rsid w:val="0060464c"/>
    <w:rPr>
      <w:b/>
      <w:bCs/>
    </w:rPr>
  </w:style>
  <w:style w:type="character" w:styleId="Emphasis">
    <w:name w:val="Emphasis"/>
    <w:basedOn w:val="DefaultParagraphFont"/>
    <w:uiPriority w:val="20"/>
    <w:qFormat/>
    <w:rsid w:val="0060464c"/>
    <w:rPr>
      <w:i/>
      <w:iCs/>
    </w:rPr>
  </w:style>
  <w:style w:type="character" w:styleId="ListLabel1">
    <w:name w:val="ListLabel 1"/>
    <w:qFormat/>
    <w:rPr>
      <w:rFonts w:ascii="Times New Roman" w:hAnsi="Times New Roman"/>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rFonts w:ascii="Times New Roman" w:hAnsi="Times New Roman"/>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rFonts w:ascii="Times New Roman" w:hAnsi="Times New Roman"/>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rFonts w:ascii="Times New Roman" w:hAnsi="Times New Roman"/>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tuloCar"/>
    <w:uiPriority w:val="10"/>
    <w:qFormat/>
    <w:rsid w:val="0060464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60464c"/>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60464c"/>
    <w:pPr>
      <w:spacing w:before="160" w:after="160"/>
      <w:jc w:val="center"/>
    </w:pPr>
    <w:rPr>
      <w:i/>
      <w:iCs/>
      <w:color w:val="404040" w:themeColor="text1" w:themeTint="bf"/>
    </w:rPr>
  </w:style>
  <w:style w:type="paragraph" w:styleId="ListParagraph">
    <w:name w:val="List Paragraph"/>
    <w:basedOn w:val="Normal"/>
    <w:uiPriority w:val="34"/>
    <w:qFormat/>
    <w:rsid w:val="0060464c"/>
    <w:pPr>
      <w:spacing w:before="0" w:after="160"/>
      <w:ind w:left="720" w:hanging="0"/>
      <w:contextualSpacing/>
    </w:pPr>
    <w:rPr/>
  </w:style>
  <w:style w:type="paragraph" w:styleId="IntenseQuote">
    <w:name w:val="Intense Quote"/>
    <w:basedOn w:val="Normal"/>
    <w:next w:val="Normal"/>
    <w:link w:val="CitadestacadaCar"/>
    <w:uiPriority w:val="30"/>
    <w:qFormat/>
    <w:rsid w:val="0060464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rmalWeb">
    <w:name w:val="Normal (Web)"/>
    <w:basedOn w:val="Normal"/>
    <w:uiPriority w:val="99"/>
    <w:semiHidden/>
    <w:unhideWhenUsed/>
    <w:qFormat/>
    <w:rsid w:val="0060464c"/>
    <w:pPr>
      <w:spacing w:lineRule="auto" w:line="240" w:beforeAutospacing="1" w:afterAutospacing="1"/>
    </w:pPr>
    <w:rPr>
      <w:rFonts w:ascii="Times New Roman" w:hAnsi="Times New Roman" w:eastAsia="Times New Roman" w:cs="Times New Roman"/>
      <w:kern w:val="0"/>
      <w:lang w:eastAsia="es-MX"/>
      <w14:ligatures w14:val="none"/>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6046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erss.2024.104838" TargetMode="External"/><Relationship Id="rId3" Type="http://schemas.openxmlformats.org/officeDocument/2006/relationships/hyperlink" Target="" TargetMode="External"/><Relationship Id="rId4" Type="http://schemas.openxmlformats.org/officeDocument/2006/relationships/hyperlink" Target="https://doi.org/10.1093/ijpor/edae035"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Application>Neat_Office/6.2.8.2$Windows_x86 LibreOffice_project/</Application>
  <Pages>4</Pages>
  <Words>831</Words>
  <Characters>5164</Characters>
  <CharactersWithSpaces>5947</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2025-08-11T02:54:00Z</dcterms:created>
  <dc:creator>BARDALES PEREYRA, GREGORY PEK</dc:creator>
  <dc:description/>
  <dc:language>es-PE</dc:language>
  <cp:lastModifiedBy/>
  <dcterms:modified xsi:type="dcterms:W3CDTF">2025-11-12T00:04:44Z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