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luohdmq2kd0a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Low-Touch Pulse: The Exception Log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Reporting PM:</w:t>
      </w:r>
      <w:r w:rsidDel="00000000" w:rsidR="00000000" w:rsidRPr="00000000">
        <w:rPr>
          <w:color w:val="1f1f1f"/>
          <w:rtl w:val="0"/>
        </w:rPr>
        <w:t xml:space="preserve"> 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Visibility Level:</w:t>
      </w:r>
      <w:r w:rsidDel="00000000" w:rsidR="00000000" w:rsidRPr="00000000">
        <w:rPr>
          <w:color w:val="1f1f1f"/>
          <w:rtl w:val="0"/>
        </w:rPr>
        <w:t xml:space="preserve"> PM, Research Owner &amp; Leadership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enogefh6s2m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🚩 1. Active Red/Yellow Flags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Document only those issues requiring immediate intervention, resource shifts, or a "Shield" action.</w:t>
      </w:r>
    </w:p>
    <w:tbl>
      <w:tblPr>
        <w:tblStyle w:val="Table1"/>
        <w:tblW w:w="8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410"/>
        <w:gridCol w:w="2880"/>
        <w:gridCol w:w="1200"/>
        <w:gridCol w:w="2325"/>
        <w:tblGridChange w:id="0">
          <w:tblGrid>
            <w:gridCol w:w="1125"/>
            <w:gridCol w:w="1410"/>
            <w:gridCol w:w="2880"/>
            <w:gridCol w:w="1200"/>
            <w:gridCol w:w="232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Flag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Issue Description (The "Exception")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Resolution Plan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[Date]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[e.g., Inference latency on A100 is 3x higher than audit.]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Lead Eng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Profile kernel; update by Wed 14:00.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[Date]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YELLOW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[e.g., Client requested feature outside SOW.]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Reset expectations in Thu sync.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[Date]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[e.g., Intern A blocked by math logic in Eq 3.]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1-hour Deep-Dive scheduled for Fri.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[Date]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YELLOW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[e.g., Core sprint tasks bleeding into Thursday.]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PM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Workload re-scoping for next week.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kg2m6f938j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✅ 2. Resolved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