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448eallxr0kg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The Horizon Goal Sheet: Talent Trajectory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 Name: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Assignment:</w:t>
      </w:r>
      <w:r w:rsidDel="00000000" w:rsidR="00000000" w:rsidRPr="00000000">
        <w:rPr>
          <w:color w:val="1f1f1f"/>
          <w:rtl w:val="0"/>
        </w:rPr>
        <w:t xml:space="preserve"> 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 Date:</w:t>
      </w:r>
      <w:r w:rsidDel="00000000" w:rsidR="00000000" w:rsidRPr="00000000">
        <w:rPr>
          <w:color w:val="1f1f1f"/>
          <w:rtl w:val="0"/>
        </w:rPr>
        <w:t xml:space="preserve"> _____________________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3owxzu10fsu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🌅 Part 1: The Long-Term Vision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Where do you see yourself in 2–3 years? Select the path that best aligns with your intrinsic motivation.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Academic Path (The "Why")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Deep theoretical research, publishing papers, and discovering new knowledge.</w:t>
        <w:br w:type="textWrapping"/>
      </w:r>
      <w:r w:rsidDel="00000000" w:rsidR="00000000" w:rsidRPr="00000000">
        <w:rPr>
          <w:i w:val="1"/>
          <w:i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PhD Candidate or Lead Researcher at a Lab/Think Tank.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Industry Path (The "Build")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Building scalable systems, optimizing for users, and shipping products.</w:t>
        <w:br w:type="textWrapping"/>
      </w:r>
      <w:r w:rsidDel="00000000" w:rsidR="00000000" w:rsidRPr="00000000">
        <w:rPr>
          <w:i w:val="1"/>
          <w:i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Senior AI Engineer, Software Architect, or Engineering Manager.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Hybrid Path (The "Bridge")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R&amp;D in startups, productizing research, and technical leadership.</w:t>
        <w:br w:type="textWrapping"/>
      </w:r>
      <w:r w:rsidDel="00000000" w:rsidR="00000000" w:rsidRPr="00000000">
        <w:rPr>
          <w:i w:val="1"/>
          <w:i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CTO, R&amp;D Lead, or Deep-Tech Founder.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uv80pvnmr6g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🛠 Part 2: Skill Gap Analysis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Identify the top 3 technical or theoretical skills you lack today that are required for your chosen path.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Skill:</w:t>
      </w:r>
      <w:r w:rsidDel="00000000" w:rsidR="00000000" w:rsidRPr="00000000">
        <w:rPr>
          <w:color w:val="1f1f1f"/>
          <w:rtl w:val="0"/>
        </w:rPr>
        <w:t xml:space="preserve"> ____________________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Resource needed: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Skill:</w:t>
      </w:r>
      <w:r w:rsidDel="00000000" w:rsidR="00000000" w:rsidRPr="00000000">
        <w:rPr>
          <w:color w:val="1f1f1f"/>
          <w:rtl w:val="0"/>
        </w:rPr>
        <w:t xml:space="preserve"> ____________________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Resource needed: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Skill:</w:t>
      </w:r>
      <w:r w:rsidDel="00000000" w:rsidR="00000000" w:rsidRPr="00000000">
        <w:rPr>
          <w:color w:val="1f1f1f"/>
          <w:rtl w:val="0"/>
        </w:rPr>
        <w:t xml:space="preserve"> ____________________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Resource needed: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63p2vkapkpn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📅 Part 3: The 20% Learning Roadmap (Quarterly)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Based on your path, define your "Learning Deliverables" for the upcoming months.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3570"/>
        <w:gridCol w:w="4080"/>
        <w:tblGridChange w:id="0">
          <w:tblGrid>
            <w:gridCol w:w="1365"/>
            <w:gridCol w:w="3570"/>
            <w:gridCol w:w="40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Learning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Outcome / Proof of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Month 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(e.g., Mastering PyTorch Lightning)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 repo reproducing a specific paper.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Month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(e.g., MLOps &amp; Dockerization)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Containerized API for the current project.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Month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(e.g., Transformer Architectures)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Technical blog post or internal seminar.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8byogo56xhk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🤝 Part 4: Mentorship &amp; Network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Who in the CVIT community or industry can help you reach this horizon?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Mentor:</w:t>
      </w:r>
      <w:r w:rsidDel="00000000" w:rsidR="00000000" w:rsidRPr="00000000">
        <w:rPr>
          <w:color w:val="1f1f1f"/>
          <w:rtl w:val="0"/>
        </w:rPr>
        <w:t xml:space="preserve"> ____________________ (e.g., PhD Student or Research Consultant)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Shadow Goal:</w:t>
      </w:r>
      <w:r w:rsidDel="00000000" w:rsidR="00000000" w:rsidRPr="00000000">
        <w:rPr>
          <w:color w:val="1f1f1f"/>
          <w:rtl w:val="0"/>
        </w:rPr>
        <w:t xml:space="preserve"> (e.g., "Attend 2 paper reading sessions with PhD Student X")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n80omzgfmy9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📝 PM Transition Strategy (Internal Only)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To be filled out by the Project Manager during the monthly Executive View.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Alignment:</w:t>
      </w:r>
      <w:r w:rsidDel="00000000" w:rsidR="00000000" w:rsidRPr="00000000">
        <w:rPr>
          <w:color w:val="1f1f1f"/>
          <w:rtl w:val="0"/>
        </w:rPr>
        <w:t xml:space="preserve"> Does the current core work (60%) support this horizon? [ ] Yes [ ] No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Adjustment Needed:</w:t>
      </w:r>
      <w:r w:rsidDel="00000000" w:rsidR="00000000" w:rsidRPr="00000000">
        <w:rPr>
          <w:color w:val="1f1f1f"/>
          <w:rtl w:val="0"/>
        </w:rPr>
        <w:t xml:space="preserve"> (e.g., "Assign them more backend scaling tasks" or "Invite them to co-author the technical report").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Transition Readiness:</w:t>
      </w:r>
      <w:r w:rsidDel="00000000" w:rsidR="00000000" w:rsidRPr="00000000">
        <w:rPr>
          <w:color w:val="1f1f1f"/>
          <w:rtl w:val="0"/>
        </w:rPr>
        <w:t xml:space="preserve"> (Scale of 1-5): [ ] 1 [ ] 2 [ ] 3 [ ] 4 [ ] 5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Review Frequency:</w:t>
      </w:r>
      <w:r w:rsidDel="00000000" w:rsidR="00000000" w:rsidRPr="00000000">
        <w:rPr>
          <w:color w:val="1f1f1f"/>
          <w:rtl w:val="0"/>
        </w:rPr>
        <w:t xml:space="preserve"> Every 30 days during the Monthly Executive View.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Review Date: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