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Times New Roman" w:hAnsi="Times New Roman" w:eastAsia="Times New Roman" w:cs="Times New Roman"/>
        </w:rPr>
      </w:pPr>
    </w:p>
    <w:p w14:paraId="00000002">
      <w:pPr>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2707005" cy="8318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6"/>
                    <a:srcRect/>
                    <a:stretch>
                      <a:fillRect/>
                    </a:stretch>
                  </pic:blipFill>
                  <pic:spPr>
                    <a:xfrm>
                      <a:off x="0" y="0"/>
                      <a:ext cx="2707537" cy="832092"/>
                    </a:xfrm>
                    <a:prstGeom prst="rect">
                      <a:avLst/>
                    </a:prstGeom>
                  </pic:spPr>
                </pic:pic>
              </a:graphicData>
            </a:graphic>
          </wp:inline>
        </w:drawing>
      </w:r>
    </w:p>
    <w:p w14:paraId="00000003">
      <w:pPr>
        <w:rPr>
          <w:rFonts w:ascii="Times New Roman" w:hAnsi="Times New Roman" w:eastAsia="Times New Roman" w:cs="Times New Roman"/>
        </w:rPr>
      </w:pPr>
    </w:p>
    <w:p w14:paraId="00000004">
      <w:pPr>
        <w:rPr>
          <w:rFonts w:ascii="Times New Roman" w:hAnsi="Times New Roman" w:eastAsia="Times New Roman" w:cs="Times New Roman"/>
        </w:rPr>
      </w:pPr>
    </w:p>
    <w:p w14:paraId="00000005">
      <w:pPr>
        <w:rPr>
          <w:rFonts w:ascii="Times New Roman" w:hAnsi="Times New Roman" w:eastAsia="Times New Roman" w:cs="Times New Roman"/>
        </w:rPr>
      </w:pPr>
    </w:p>
    <w:p w14:paraId="00000006">
      <w:pPr>
        <w:rPr>
          <w:rFonts w:ascii="Times New Roman" w:hAnsi="Times New Roman" w:eastAsia="Times New Roman" w:cs="Times New Roman"/>
        </w:rPr>
      </w:pPr>
    </w:p>
    <w:p w14:paraId="00000007">
      <w:pPr>
        <w:rPr>
          <w:rFonts w:ascii="Times New Roman" w:hAnsi="Times New Roman" w:eastAsia="Times New Roman" w:cs="Times New Roman"/>
        </w:rPr>
      </w:pPr>
    </w:p>
    <w:p w14:paraId="00000008">
      <w:pPr>
        <w:rPr>
          <w:rFonts w:ascii="Times New Roman" w:hAnsi="Times New Roman" w:eastAsia="Times New Roman" w:cs="Times New Roman"/>
        </w:rPr>
      </w:pPr>
    </w:p>
    <w:p w14:paraId="00000009">
      <w:pPr>
        <w:rPr>
          <w:rFonts w:ascii="Times New Roman" w:hAnsi="Times New Roman" w:eastAsia="Times New Roman" w:cs="Times New Roman"/>
        </w:rPr>
      </w:pPr>
    </w:p>
    <w:p w14:paraId="0000000A">
      <w:pPr>
        <w:jc w:val="center"/>
        <w:rPr>
          <w:rFonts w:ascii="Times New Roman" w:hAnsi="Times New Roman" w:eastAsia="Times New Roman" w:cs="Times New Roman"/>
          <w:b/>
          <w:bCs/>
          <w:smallCaps/>
          <w:color w:val="C00000"/>
          <w:sz w:val="56"/>
          <w:szCs w:val="56"/>
        </w:rPr>
      </w:pPr>
      <w:r>
        <w:rPr>
          <w:rFonts w:ascii="Times New Roman" w:hAnsi="Times New Roman" w:eastAsia="Times New Roman" w:cs="Times New Roman"/>
          <w:b/>
          <w:bCs/>
          <w:smallCaps/>
          <w:color w:val="C00000"/>
          <w:sz w:val="56"/>
          <w:szCs w:val="56"/>
          <w:rtl w:val="0"/>
        </w:rPr>
        <w:t>CAPSTONE PROJECT REPORT</w:t>
      </w:r>
    </w:p>
    <w:p w14:paraId="0000000B">
      <w:pPr>
        <w:jc w:val="center"/>
        <w:rPr>
          <w:rFonts w:ascii="Times New Roman" w:hAnsi="Times New Roman" w:eastAsia="Times New Roman" w:cs="Times New Roman"/>
          <w:b/>
          <w:bCs/>
          <w:color w:val="C00000"/>
          <w:sz w:val="44"/>
          <w:szCs w:val="44"/>
        </w:rPr>
      </w:pPr>
      <w:r>
        <w:rPr>
          <w:rFonts w:ascii="Times New Roman" w:hAnsi="Times New Roman" w:eastAsia="Times New Roman" w:cs="Times New Roman"/>
          <w:b/>
          <w:bCs/>
          <w:color w:val="C00000"/>
          <w:sz w:val="44"/>
          <w:szCs w:val="44"/>
          <w:rtl w:val="0"/>
        </w:rPr>
        <w:t>Report 1 – Project Introduction</w:t>
      </w:r>
    </w:p>
    <w:p w14:paraId="0000000C">
      <w:pPr>
        <w:jc w:val="center"/>
        <w:rPr>
          <w:rFonts w:ascii="Times New Roman" w:hAnsi="Times New Roman" w:eastAsia="Times New Roman" w:cs="Times New Roman"/>
          <w:b/>
          <w:bCs/>
          <w:sz w:val="44"/>
          <w:szCs w:val="44"/>
        </w:rPr>
      </w:pPr>
    </w:p>
    <w:p w14:paraId="0000000D">
      <w:pPr>
        <w:jc w:val="center"/>
        <w:rPr>
          <w:rFonts w:ascii="Times New Roman" w:hAnsi="Times New Roman" w:eastAsia="Times New Roman" w:cs="Times New Roman"/>
          <w:b/>
          <w:bCs/>
          <w:sz w:val="44"/>
          <w:szCs w:val="44"/>
        </w:rPr>
      </w:pPr>
    </w:p>
    <w:p w14:paraId="0000000E">
      <w:pPr>
        <w:jc w:val="center"/>
        <w:rPr>
          <w:rFonts w:ascii="Times New Roman" w:hAnsi="Times New Roman" w:eastAsia="Times New Roman" w:cs="Times New Roman"/>
          <w:b/>
          <w:bCs/>
          <w:sz w:val="44"/>
          <w:szCs w:val="44"/>
        </w:rPr>
      </w:pPr>
    </w:p>
    <w:p w14:paraId="0000000F">
      <w:pPr>
        <w:jc w:val="center"/>
        <w:rPr>
          <w:rFonts w:ascii="Times New Roman" w:hAnsi="Times New Roman" w:eastAsia="Times New Roman" w:cs="Times New Roman"/>
          <w:b/>
          <w:bCs/>
          <w:sz w:val="44"/>
          <w:szCs w:val="44"/>
        </w:rPr>
      </w:pPr>
    </w:p>
    <w:p w14:paraId="00000010">
      <w:pPr>
        <w:jc w:val="center"/>
        <w:rPr>
          <w:rFonts w:ascii="Times New Roman" w:hAnsi="Times New Roman" w:eastAsia="Times New Roman" w:cs="Times New Roman"/>
          <w:b/>
          <w:bCs/>
          <w:sz w:val="44"/>
          <w:szCs w:val="44"/>
        </w:rPr>
      </w:pPr>
    </w:p>
    <w:p w14:paraId="00000011">
      <w:pPr>
        <w:jc w:val="center"/>
        <w:rPr>
          <w:rFonts w:ascii="Times New Roman" w:hAnsi="Times New Roman" w:eastAsia="Times New Roman" w:cs="Times New Roman"/>
          <w:b/>
          <w:bCs/>
          <w:sz w:val="44"/>
          <w:szCs w:val="44"/>
        </w:rPr>
      </w:pPr>
    </w:p>
    <w:p w14:paraId="00000012">
      <w:pPr>
        <w:jc w:val="center"/>
        <w:rPr>
          <w:rFonts w:ascii="Times New Roman" w:hAnsi="Times New Roman" w:eastAsia="Times New Roman" w:cs="Times New Roman"/>
          <w:b/>
          <w:bCs/>
          <w:sz w:val="44"/>
          <w:szCs w:val="44"/>
        </w:rPr>
      </w:pPr>
    </w:p>
    <w:p w14:paraId="00000013">
      <w:pPr>
        <w:jc w:val="center"/>
        <w:rPr>
          <w:rFonts w:ascii="Times New Roman" w:hAnsi="Times New Roman" w:eastAsia="Times New Roman" w:cs="Times New Roman"/>
          <w:b/>
          <w:bCs/>
          <w:sz w:val="44"/>
          <w:szCs w:val="44"/>
        </w:rPr>
      </w:pPr>
    </w:p>
    <w:p w14:paraId="00000014">
      <w:pPr>
        <w:jc w:val="center"/>
        <w:rPr>
          <w:rFonts w:ascii="Times New Roman" w:hAnsi="Times New Roman" w:eastAsia="Times New Roman" w:cs="Times New Roman"/>
          <w:b/>
          <w:bCs/>
          <w:sz w:val="44"/>
          <w:szCs w:val="44"/>
        </w:rPr>
      </w:pPr>
    </w:p>
    <w:p w14:paraId="00000015">
      <w:pPr>
        <w:spacing w:before="89"/>
        <w:ind w:left="2526" w:right="2171"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Ho Chi Minh City, September 2026 –</w:t>
      </w:r>
    </w:p>
    <w:p w14:paraId="00000016">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Times New Roman" w:hAnsi="Times New Roman" w:eastAsia="Times New Roman" w:cs="Times New Roman"/>
          <w:b/>
          <w:bCs/>
          <w:i w:val="0"/>
          <w:iCs w:val="0"/>
          <w:smallCaps w:val="0"/>
          <w:strike w:val="0"/>
          <w:color w:val="2E75B5"/>
          <w:sz w:val="32"/>
          <w:szCs w:val="32"/>
          <w:u w:val="none"/>
          <w:shd w:val="clear" w:fill="auto"/>
          <w:vertAlign w:val="baseline"/>
        </w:rPr>
      </w:pPr>
      <w:r>
        <w:rPr>
          <w:rFonts w:ascii="Times New Roman" w:hAnsi="Times New Roman" w:eastAsia="Times New Roman" w:cs="Times New Roman"/>
          <w:b/>
          <w:bCs/>
          <w:i w:val="0"/>
          <w:iCs w:val="0"/>
          <w:smallCaps w:val="0"/>
          <w:strike w:val="0"/>
          <w:color w:val="2E75B5"/>
          <w:sz w:val="32"/>
          <w:szCs w:val="32"/>
          <w:u w:val="none"/>
          <w:shd w:val="clear" w:fill="auto"/>
          <w:vertAlign w:val="baseline"/>
          <w:rtl w:val="0"/>
        </w:rPr>
        <w:t>Table of Contents</w:t>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 Record of Changes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II. Project Introduction</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1. Overview</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1.1 Project Information</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1.2 Project Team</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2. Product Background</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 Existing Systems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3.1 SAP Extended Warehouse Management</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3.2 Microsoft Dynamics 365 Supply Chain Management</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3.3 Odoo Inventory</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3.4 Oracle NetSuite WMS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4. Business Opportunity</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 Software Product Vision</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2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 Project Scope &amp; Limitations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6.1 Major Features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040"/>
        </w:tabs>
        <w:spacing w:before="0" w:after="100" w:line="259" w:lineRule="auto"/>
        <w:ind w:left="4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6.2 Limitations &amp; Exclusions</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w:t>
      </w:r>
    </w:p>
    <w:p w14:paraId="00000027">
      <w:pPr>
        <w:rPr>
          <w:rFonts w:ascii="Times New Roman" w:hAnsi="Times New Roman" w:eastAsia="Times New Roman" w:cs="Times New Roman"/>
        </w:rPr>
      </w:pPr>
    </w:p>
    <w:p w14:paraId="00000028">
      <w:pPr>
        <w:rPr>
          <w:rFonts w:ascii="Times New Roman" w:hAnsi="Times New Roman" w:eastAsia="Times New Roman" w:cs="Times New Roman"/>
          <w:b/>
          <w:bCs/>
          <w:color w:val="C00000"/>
          <w:sz w:val="32"/>
          <w:szCs w:val="32"/>
        </w:rPr>
      </w:pPr>
      <w:r>
        <w:br w:type="page"/>
      </w:r>
    </w:p>
    <w:p w14:paraId="00000029">
      <w:pPr>
        <w:pStyle w:val="2"/>
        <w:rPr>
          <w:rFonts w:ascii="Times New Roman" w:hAnsi="Times New Roman" w:eastAsia="Times New Roman" w:cs="Times New Roman"/>
        </w:rPr>
      </w:pPr>
      <w:bookmarkStart w:id="0" w:name="_heading=h.ogc20wha5tw1" w:colFirst="0" w:colLast="0"/>
      <w:bookmarkEnd w:id="0"/>
      <w:r>
        <w:rPr>
          <w:rFonts w:ascii="Times New Roman" w:hAnsi="Times New Roman" w:eastAsia="Times New Roman" w:cs="Times New Roman"/>
          <w:rtl w:val="0"/>
        </w:rPr>
        <w:t>I. Record of Changes</w:t>
      </w:r>
    </w:p>
    <w:tbl>
      <w:tblPr>
        <w:tblStyle w:val="32"/>
        <w:tblW w:w="8804"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990"/>
        <w:gridCol w:w="810"/>
        <w:gridCol w:w="1234"/>
        <w:gridCol w:w="5770"/>
      </w:tblGrid>
      <w:tr w14:paraId="68084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Date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A*</w:t>
            </w: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br w:type="textWrapping"/>
            </w: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M, D</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In charge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0" w:after="60" w:line="240" w:lineRule="auto"/>
              <w:ind w:left="0" w:right="0" w:firstLine="0"/>
              <w:jc w:val="center"/>
              <w:rPr>
                <w:rFonts w:ascii="Times New Roman" w:hAnsi="Times New Roman" w:eastAsia="Times New Roman" w:cs="Times New Roman"/>
                <w:b/>
                <w:bCs/>
                <w:i w:val="0"/>
                <w:iCs w:val="0"/>
                <w:smallCaps w:val="0"/>
                <w:strike w:val="0"/>
                <w:color w:val="6E2500"/>
                <w:sz w:val="20"/>
                <w:szCs w:val="20"/>
                <w:u w:val="none"/>
                <w:shd w:val="clear" w:fill="auto"/>
                <w:vertAlign w:val="baseline"/>
              </w:rPr>
            </w:pPr>
            <w:r>
              <w:rPr>
                <w:rFonts w:ascii="Times New Roman" w:hAnsi="Times New Roman" w:eastAsia="Times New Roman" w:cs="Times New Roman"/>
                <w:b/>
                <w:bCs/>
                <w:i w:val="0"/>
                <w:iCs w:val="0"/>
                <w:smallCaps w:val="0"/>
                <w:strike w:val="0"/>
                <w:color w:val="6E2500"/>
                <w:sz w:val="20"/>
                <w:szCs w:val="20"/>
                <w:u w:val="none"/>
                <w:shd w:val="clear" w:fill="auto"/>
                <w:vertAlign w:val="baseline"/>
                <w:rtl w:val="0"/>
              </w:rPr>
              <w:t>Change Description</w:t>
            </w:r>
          </w:p>
        </w:tc>
      </w:tr>
      <w:tr w14:paraId="39E39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15/09/2026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A</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Trương Lê Huy Hoàng</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 xml:space="preserve">Initial version of the FSCM Project Introduction </w:t>
            </w:r>
          </w:p>
        </w:tc>
      </w:tr>
      <w:tr w14:paraId="5FA7A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24/09/2026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M</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Trương Lê Huy Hoàng</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bookmarkStart w:id="1" w:name="_heading=h.edb3aqz854c6" w:colFirst="0" w:colLast="0"/>
            <w:bookmarkEnd w:id="1"/>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Revised Section 2-6</w:t>
            </w:r>
          </w:p>
        </w:tc>
      </w:tr>
      <w:tr w14:paraId="4B91E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E8678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26/09/2026</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4203EF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M</w:t>
            </w: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5D0CE4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Nguyễn Thiện Nhân</w:t>
            </w:r>
            <w:bookmarkStart w:id="6" w:name="_GoBack"/>
            <w:bookmarkEnd w:id="6"/>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3BB8A8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Updated Sections 2-6 to the revised scope in Core Flow v1.1: six user roles, offline ordering with first-come-first-served synchronization, FEFO-MLOR allocation with automatic rejection, QR-based goods issue and retailer receipt, payment status, and sales performance. Removed partial fulfillment, write-off, and the Retail Store Manager role. System context diagram to be replaced.</w:t>
            </w:r>
          </w:p>
        </w:tc>
      </w:tr>
      <w:tr w14:paraId="1E00F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22F5D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39AA9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461FF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0BC7A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1F560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2E860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2B208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47960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5C7B4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bl>
    <w:p w14:paraId="00000062">
      <w:pPr>
        <w:rPr>
          <w:rFonts w:ascii="Times New Roman" w:hAnsi="Times New Roman" w:eastAsia="Times New Roman" w:cs="Times New Roman"/>
          <w:sz w:val="28"/>
          <w:szCs w:val="28"/>
        </w:rPr>
      </w:pPr>
      <w:r>
        <w:rPr>
          <w:rFonts w:ascii="Times New Roman" w:hAnsi="Times New Roman" w:eastAsia="Times New Roman" w:cs="Times New Roman"/>
          <w:rtl w:val="0"/>
        </w:rPr>
        <w:t>*A - Added M - Modified D - Deleted</w:t>
      </w:r>
    </w:p>
    <w:p w14:paraId="00000063">
      <w:pPr>
        <w:rPr>
          <w:rFonts w:ascii="Times New Roman" w:hAnsi="Times New Roman" w:eastAsia="Times New Roman" w:cs="Times New Roman"/>
        </w:rPr>
      </w:pPr>
    </w:p>
    <w:p w14:paraId="00000064">
      <w:pPr>
        <w:rPr>
          <w:rFonts w:ascii="Times New Roman" w:hAnsi="Times New Roman" w:eastAsia="Times New Roman" w:cs="Times New Roman"/>
        </w:rPr>
      </w:pPr>
      <w:r>
        <w:br w:type="page"/>
      </w:r>
    </w:p>
    <w:p w14:paraId="00000065">
      <w:pPr>
        <w:pStyle w:val="2"/>
        <w:rPr>
          <w:rFonts w:ascii="Times New Roman" w:hAnsi="Times New Roman" w:eastAsia="Times New Roman" w:cs="Times New Roman"/>
        </w:rPr>
      </w:pPr>
      <w:bookmarkStart w:id="2" w:name="_heading=h.jtevu5u2zrhl" w:colFirst="0" w:colLast="0"/>
      <w:bookmarkEnd w:id="2"/>
      <w:r>
        <w:rPr>
          <w:rFonts w:ascii="Times New Roman" w:hAnsi="Times New Roman" w:eastAsia="Times New Roman" w:cs="Times New Roman"/>
          <w:rtl w:val="0"/>
        </w:rPr>
        <w:t>II. Project Introduction</w:t>
      </w:r>
    </w:p>
    <w:p w14:paraId="00000066">
      <w:pPr>
        <w:pStyle w:val="3"/>
        <w:rPr>
          <w:rFonts w:ascii="Times New Roman" w:hAnsi="Times New Roman" w:eastAsia="Times New Roman" w:cs="Times New Roman"/>
        </w:rPr>
      </w:pPr>
      <w:bookmarkStart w:id="3" w:name="_heading=h.asgwwfz6ocga" w:colFirst="0" w:colLast="0"/>
      <w:bookmarkEnd w:id="3"/>
      <w:r>
        <w:rPr>
          <w:rFonts w:ascii="Times New Roman" w:hAnsi="Times New Roman" w:eastAsia="Times New Roman" w:cs="Times New Roman"/>
          <w:rtl w:val="0"/>
        </w:rPr>
        <w:t>1. Overview</w:t>
      </w:r>
    </w:p>
    <w:p w14:paraId="00000067">
      <w:pPr>
        <w:pStyle w:val="4"/>
        <w:rPr>
          <w:rFonts w:ascii="Times New Roman" w:hAnsi="Times New Roman" w:eastAsia="Times New Roman" w:cs="Times New Roman"/>
        </w:rPr>
      </w:pPr>
      <w:bookmarkStart w:id="4" w:name="_heading=h.7cvnvpg8y4sh" w:colFirst="0" w:colLast="0"/>
      <w:bookmarkEnd w:id="4"/>
      <w:r>
        <w:rPr>
          <w:rFonts w:ascii="Times New Roman" w:hAnsi="Times New Roman" w:eastAsia="Times New Roman" w:cs="Times New Roman"/>
          <w:rtl w:val="0"/>
        </w:rPr>
        <w:t>1.1 Project Information</w:t>
      </w:r>
    </w:p>
    <w:p w14:paraId="000000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Project name: </w:t>
      </w:r>
      <w:r>
        <w:rPr>
          <w:rFonts w:ascii="Times New Roman" w:hAnsi="Times New Roman" w:eastAsia="Times New Roman" w:cs="Times New Roman"/>
          <w:b w:val="0"/>
          <w:bCs w:val="0"/>
          <w:i w:val="0"/>
          <w:iCs w:val="0"/>
          <w:smallCaps w:val="0"/>
          <w:strike w:val="0"/>
          <w:color w:val="222222"/>
          <w:sz w:val="22"/>
          <w:szCs w:val="22"/>
          <w:highlight w:val="white"/>
          <w:u w:val="none"/>
          <w:vertAlign w:val="baseline"/>
          <w:rtl w:val="0"/>
        </w:rPr>
        <w:t>FSCM – Short Shelf-Life FMCG Supply Chain Management and Distribution Coordination System with FEFO Optimization</w:t>
      </w:r>
    </w:p>
    <w:p w14:paraId="0000006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Project code: </w:t>
      </w:r>
      <w:r>
        <w:rPr>
          <w:rFonts w:ascii="Times New Roman" w:hAnsi="Times New Roman" w:eastAsia="Times New Roman" w:cs="Times New Roman"/>
          <w:b w:val="0"/>
          <w:bCs w:val="0"/>
          <w:i w:val="0"/>
          <w:iCs w:val="0"/>
          <w:smallCaps w:val="0"/>
          <w:strike w:val="0"/>
          <w:color w:val="000000"/>
          <w:sz w:val="22"/>
          <w:szCs w:val="22"/>
          <w:highlight w:val="white"/>
          <w:u w:val="none"/>
          <w:vertAlign w:val="baseline"/>
          <w:rtl w:val="0"/>
        </w:rPr>
        <w:t>FA26SE083</w:t>
      </w:r>
    </w:p>
    <w:p w14:paraId="0000006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Group name: </w:t>
      </w:r>
      <w:r>
        <w:rPr>
          <w:rFonts w:ascii="Times New Roman" w:hAnsi="Times New Roman" w:eastAsia="Times New Roman" w:cs="Times New Roman"/>
          <w:b w:val="0"/>
          <w:bCs w:val="0"/>
          <w:i w:val="0"/>
          <w:iCs w:val="0"/>
          <w:smallCaps w:val="0"/>
          <w:strike w:val="0"/>
          <w:color w:val="000000"/>
          <w:sz w:val="22"/>
          <w:szCs w:val="22"/>
          <w:highlight w:val="white"/>
          <w:u w:val="none"/>
          <w:vertAlign w:val="baseline"/>
          <w:rtl w:val="0"/>
        </w:rPr>
        <w:t>GFA26SE63</w:t>
      </w:r>
    </w:p>
    <w:p w14:paraId="0000006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09" w:right="0" w:hanging="36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Software type: Web Application and Mobile Application</w:t>
      </w:r>
    </w:p>
    <w:p w14:paraId="0000006C">
      <w:pPr>
        <w:pStyle w:val="4"/>
        <w:rPr>
          <w:rFonts w:ascii="Times New Roman" w:hAnsi="Times New Roman" w:eastAsia="Times New Roman" w:cs="Times New Roman"/>
        </w:rPr>
      </w:pPr>
      <w:bookmarkStart w:id="5" w:name="_heading=h.lssh9brogmqs" w:colFirst="0" w:colLast="0"/>
      <w:bookmarkEnd w:id="5"/>
      <w:r>
        <w:rPr>
          <w:rFonts w:ascii="Times New Roman" w:hAnsi="Times New Roman" w:eastAsia="Times New Roman" w:cs="Times New Roman"/>
          <w:rtl w:val="0"/>
        </w:rPr>
        <w:t>1.2 Project Team</w:t>
      </w:r>
    </w:p>
    <w:tbl>
      <w:tblPr>
        <w:tblStyle w:val="33"/>
        <w:tblW w:w="8647"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10"/>
        <w:gridCol w:w="1275"/>
        <w:gridCol w:w="3261"/>
        <w:gridCol w:w="1701"/>
      </w:tblGrid>
      <w:tr w14:paraId="0F8D7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6D">
            <w:pPr>
              <w:spacing w:after="0" w:line="273" w:lineRule="auto"/>
              <w:ind w:left="107" w:hanging="107"/>
              <w:jc w:val="both"/>
              <w:rPr>
                <w:rFonts w:ascii="Times New Roman" w:hAnsi="Times New Roman" w:eastAsia="Times New Roman" w:cs="Times New Roman"/>
                <w:b/>
                <w:bCs/>
                <w:i w:val="0"/>
                <w:iCs w:val="0"/>
                <w:sz w:val="22"/>
                <w:szCs w:val="22"/>
                <w:u w:val="none"/>
              </w:rPr>
            </w:pPr>
            <w:r>
              <w:rPr>
                <w:rFonts w:ascii="Times New Roman" w:hAnsi="Times New Roman" w:eastAsia="Times New Roman" w:cs="Times New Roman"/>
                <w:b/>
                <w:bCs/>
                <w:i w:val="0"/>
                <w:iCs w:val="0"/>
                <w:sz w:val="22"/>
                <w:szCs w:val="22"/>
                <w:u w:val="none"/>
                <w:rtl w:val="0"/>
              </w:rPr>
              <w:t>Full Name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6E">
            <w:pPr>
              <w:spacing w:after="0" w:line="273" w:lineRule="auto"/>
              <w:ind w:left="107" w:hanging="107"/>
              <w:jc w:val="both"/>
              <w:rPr>
                <w:rFonts w:ascii="Times New Roman" w:hAnsi="Times New Roman" w:eastAsia="Times New Roman" w:cs="Times New Roman"/>
                <w:b/>
                <w:bCs/>
                <w:i w:val="0"/>
                <w:iCs w:val="0"/>
                <w:sz w:val="24"/>
                <w:szCs w:val="24"/>
                <w:u w:val="none"/>
              </w:rPr>
            </w:pPr>
            <w:r>
              <w:rPr>
                <w:rFonts w:ascii="Times New Roman" w:hAnsi="Times New Roman" w:eastAsia="Times New Roman" w:cs="Times New Roman"/>
                <w:b/>
                <w:bCs/>
                <w:i w:val="0"/>
                <w:iCs w:val="0"/>
                <w:sz w:val="22"/>
                <w:szCs w:val="22"/>
                <w:u w:val="none"/>
                <w:rtl w:val="0"/>
              </w:rPr>
              <w:t>Role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6F">
            <w:pPr>
              <w:spacing w:after="0" w:line="273" w:lineRule="auto"/>
              <w:ind w:left="107" w:hanging="107"/>
              <w:jc w:val="both"/>
              <w:rPr>
                <w:rFonts w:ascii="Times New Roman" w:hAnsi="Times New Roman" w:eastAsia="Times New Roman" w:cs="Times New Roman"/>
                <w:b/>
                <w:bCs/>
                <w:i w:val="0"/>
                <w:iCs w:val="0"/>
                <w:sz w:val="22"/>
                <w:szCs w:val="22"/>
                <w:u w:val="none"/>
              </w:rPr>
            </w:pPr>
            <w:r>
              <w:rPr>
                <w:rFonts w:ascii="Times New Roman" w:hAnsi="Times New Roman" w:eastAsia="Times New Roman" w:cs="Times New Roman"/>
                <w:b/>
                <w:bCs/>
                <w:i w:val="0"/>
                <w:iCs w:val="0"/>
                <w:sz w:val="22"/>
                <w:szCs w:val="22"/>
                <w:u w:val="none"/>
                <w:rtl w:val="0"/>
              </w:rPr>
              <w:t>Email</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108" w:type="dxa"/>
              <w:bottom w:w="0" w:type="dxa"/>
              <w:right w:w="108" w:type="dxa"/>
            </w:tcMar>
            <w:vAlign w:val="center"/>
          </w:tcPr>
          <w:p w14:paraId="00000070">
            <w:pPr>
              <w:spacing w:before="2" w:after="0" w:line="240" w:lineRule="auto"/>
              <w:ind w:left="107" w:right="-108" w:hanging="107"/>
              <w:jc w:val="both"/>
              <w:rPr>
                <w:rFonts w:ascii="Times New Roman" w:hAnsi="Times New Roman" w:eastAsia="Times New Roman" w:cs="Times New Roman"/>
                <w:b/>
                <w:bCs/>
                <w:i w:val="0"/>
                <w:iCs w:val="0"/>
                <w:sz w:val="22"/>
                <w:szCs w:val="22"/>
                <w:u w:val="none"/>
              </w:rPr>
            </w:pPr>
            <w:r>
              <w:rPr>
                <w:rFonts w:ascii="Times New Roman" w:hAnsi="Times New Roman" w:eastAsia="Times New Roman" w:cs="Times New Roman"/>
                <w:b/>
                <w:bCs/>
                <w:i w:val="0"/>
                <w:iCs w:val="0"/>
                <w:sz w:val="22"/>
                <w:szCs w:val="22"/>
                <w:u w:val="none"/>
                <w:rtl w:val="0"/>
              </w:rPr>
              <w:t xml:space="preserve">  Mobile</w:t>
            </w:r>
          </w:p>
        </w:tc>
      </w:tr>
      <w:tr w14:paraId="17C0B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1">
            <w:pPr>
              <w:spacing w:after="0" w:line="254"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 Thi Quynh Chi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2">
            <w:pPr>
              <w:spacing w:after="0" w:line="254" w:lineRule="auto"/>
              <w:ind w:left="107" w:hanging="107"/>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Lecturer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3">
            <w:pPr>
              <w:spacing w:after="0" w:line="254"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w:t>
            </w:r>
            <w:r>
              <w:fldChar w:fldCharType="begin"/>
            </w:r>
            <w:r>
              <w:instrText xml:space="preserve"> HYPERLINK "mailto:chiltq6@fe.edu.vn" \h </w:instrText>
            </w:r>
            <w:r>
              <w:fldChar w:fldCharType="separate"/>
            </w:r>
            <w:r>
              <w:rPr>
                <w:rFonts w:ascii="Times New Roman" w:hAnsi="Times New Roman" w:eastAsia="Times New Roman" w:cs="Times New Roman"/>
                <w:color w:val="1155CC"/>
                <w:sz w:val="24"/>
                <w:szCs w:val="24"/>
                <w:u w:val="single"/>
                <w:rtl w:val="0"/>
              </w:rPr>
              <w:t>chiltq6@fe.edu.vn</w:t>
            </w:r>
            <w:r>
              <w:rPr>
                <w:rFonts w:ascii="Times New Roman" w:hAnsi="Times New Roman" w:eastAsia="Times New Roman" w:cs="Times New Roman"/>
                <w:color w:val="1155CC"/>
                <w:sz w:val="24"/>
                <w:szCs w:val="24"/>
                <w:u w:val="single"/>
                <w:rtl w:val="0"/>
              </w:rPr>
              <w:fldChar w:fldCharType="end"/>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4">
            <w:pPr>
              <w:spacing w:after="0" w:line="254"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w:t>
            </w:r>
          </w:p>
        </w:tc>
      </w:tr>
      <w:tr w14:paraId="4FC5E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5">
            <w:pPr>
              <w:spacing w:after="0" w:line="252" w:lineRule="auto"/>
              <w:ind w:left="107" w:hanging="107"/>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Nguyen Thien Nhan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6">
            <w:pPr>
              <w:spacing w:after="0" w:line="252"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Leader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7">
            <w:pPr>
              <w:spacing w:after="0" w:line="252"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NhanNTSE184555@fpt.edu.vn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8">
            <w:pPr>
              <w:spacing w:after="0" w:line="252"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4"/>
                <w:szCs w:val="24"/>
                <w:rtl w:val="0"/>
              </w:rPr>
              <w:t>0338203440</w:t>
            </w:r>
          </w:p>
        </w:tc>
      </w:tr>
      <w:tr w14:paraId="286E3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9">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Tran Ngoc Khiet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A">
            <w:pPr>
              <w:spacing w:after="0" w:line="254"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B">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tranngockhiet22062005@gmail.com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C">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4"/>
                <w:szCs w:val="24"/>
                <w:rtl w:val="0"/>
              </w:rPr>
              <w:t>0964171773</w:t>
            </w:r>
          </w:p>
        </w:tc>
      </w:tr>
      <w:tr w14:paraId="31E1E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D">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Doan Duc Hai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E">
            <w:pPr>
              <w:spacing w:after="0" w:line="254"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7F">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beu2901@gmail.com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0">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4"/>
                <w:szCs w:val="24"/>
                <w:rtl w:val="0"/>
              </w:rPr>
              <w:t>0836557986</w:t>
            </w:r>
          </w:p>
        </w:tc>
      </w:tr>
      <w:tr w14:paraId="6FDA1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1">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Vo Minh Son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2">
            <w:pPr>
              <w:spacing w:after="0" w:line="254" w:lineRule="auto"/>
              <w:ind w:left="107" w:hanging="107"/>
              <w:jc w:val="both"/>
              <w:rPr>
                <w:rFonts w:ascii="Times New Roman" w:hAnsi="Times New Roman" w:eastAsia="Times New Roman" w:cs="Times New Roman"/>
                <w:sz w:val="24"/>
                <w:szCs w:val="24"/>
              </w:rPr>
            </w:pPr>
            <w:r>
              <w:rPr>
                <w:rFonts w:ascii="Times New Roman" w:hAnsi="Times New Roman" w:eastAsia="Times New Roman" w:cs="Times New Roman"/>
                <w:sz w:val="22"/>
                <w:szCs w:val="22"/>
                <w:rtl w:val="0"/>
              </w:rPr>
              <w:t xml:space="preserve">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3">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vominhson310805@gmail.com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4">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4"/>
                <w:szCs w:val="24"/>
                <w:rtl w:val="0"/>
              </w:rPr>
              <w:t>0933217411</w:t>
            </w:r>
          </w:p>
        </w:tc>
      </w:tr>
      <w:tr w14:paraId="272E4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5">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Truong Le Huy Hoang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6">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7">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color w:val="1C4587"/>
                <w:sz w:val="24"/>
                <w:szCs w:val="24"/>
                <w:u w:val="single"/>
                <w:rtl w:val="0"/>
              </w:rPr>
              <w:t>hoanghuypeter1182004@gmail.com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88">
            <w:pPr>
              <w:spacing w:after="0" w:line="254" w:lineRule="auto"/>
              <w:ind w:left="107" w:hanging="107"/>
              <w:jc w:val="both"/>
              <w:rPr>
                <w:rFonts w:ascii="Times New Roman" w:hAnsi="Times New Roman" w:eastAsia="Times New Roman" w:cs="Times New Roman"/>
                <w:sz w:val="22"/>
                <w:szCs w:val="22"/>
              </w:rPr>
            </w:pPr>
            <w:r>
              <w:rPr>
                <w:rFonts w:ascii="Times New Roman" w:hAnsi="Times New Roman" w:eastAsia="Times New Roman" w:cs="Times New Roman"/>
                <w:sz w:val="24"/>
                <w:szCs w:val="24"/>
                <w:rtl w:val="0"/>
              </w:rPr>
              <w:t>0961287977</w:t>
            </w:r>
          </w:p>
        </w:tc>
      </w:tr>
    </w:tbl>
    <w:p w14:paraId="00000089">
      <w:pPr>
        <w:rPr>
          <w:rFonts w:ascii="Times New Roman" w:hAnsi="Times New Roman" w:eastAsia="Times New Roman" w:cs="Times New Roman"/>
        </w:rPr>
      </w:pPr>
    </w:p>
    <w:p w14:paraId="0000008A">
      <w:pPr>
        <w:rPr>
          <w:rFonts w:ascii="Times New Roman" w:hAnsi="Times New Roman" w:eastAsia="Times New Roman" w:cs="Times New Roman"/>
        </w:rPr>
      </w:pPr>
    </w:p>
    <w:p w14:paraId="0000008B">
      <w:pPr>
        <w:pStyle w:val="3"/>
        <w:keepNext/>
        <w:rPr>
          <w:rFonts w:ascii="Times New Roman" w:hAnsi="Times New Roman" w:eastAsia="Times New Roman" w:cs="Times New Roman"/>
        </w:rPr>
      </w:pPr>
      <w:r>
        <w:rPr>
          <w:rFonts w:ascii="Times New Roman" w:hAnsi="Times New Roman" w:eastAsia="Times New Roman" w:cs="Times New Roman"/>
          <w:rtl w:val="0"/>
        </w:rPr>
        <w:t>2. Product Background</w:t>
      </w:r>
    </w:p>
    <w:p w14:paraId="0000008C">
      <w:pPr>
        <w:jc w:val="both"/>
        <w:rPr>
          <w:rFonts w:ascii="Times New Roman" w:hAnsi="Times New Roman" w:eastAsia="Times New Roman" w:cs="Times New Roman"/>
        </w:rPr>
      </w:pPr>
      <w:r>
        <w:rPr>
          <w:rFonts w:ascii="Times New Roman" w:hAnsi="Times New Roman" w:eastAsia="Times New Roman" w:cs="Times New Roman"/>
          <w:rtl w:val="0"/>
        </w:rPr>
        <w:t>Short shelf-life FMCG products such as dairy, fresh bakery items, and chilled goods must be controlled by Batch/Lot and expiration date. FIFO alone is insufficient because a later receipt may expire earlier than an older receipt, and the stock totals kept in spreadsheets or general inventory tools do not show which batch, in which warehouse, should serve a given order.</w:t>
      </w:r>
    </w:p>
    <w:p w14:paraId="7FF984DF">
      <w:pPr>
        <w:jc w:val="both"/>
        <w:rPr>
          <w:rFonts w:ascii="Times New Roman" w:hAnsi="Times New Roman" w:eastAsia="Times New Roman" w:cs="Times New Roman"/>
        </w:rPr>
      </w:pPr>
      <w:r>
        <w:rPr>
          <w:rFonts w:ascii="Times New Roman" w:hAnsi="Times New Roman" w:eastAsia="Times New Roman" w:cs="Times New Roman"/>
          <w:rtl w:val="0"/>
        </w:rPr>
        <w:t>The target operation is one FMCG distributor with several warehouses and field Sales Representatives organized into regional sales groups. Sales Representatives visit retail stores and place orders on the retailers' behalf, often where mobile connectivity is unstable. Retailers do not place orders themselves; they receive the goods, confirm receipt, and pay either in advance or on delivery. When several Sales Representatives submit orders for the same stock, especially after working offline, the distributor needs a consistent rule to decide which order is served and which is rejected.</w:t>
      </w:r>
    </w:p>
    <w:p w14:paraId="323F2549">
      <w:pPr>
        <w:jc w:val="both"/>
        <w:rPr>
          <w:rFonts w:ascii="Times New Roman" w:hAnsi="Times New Roman" w:eastAsia="Times New Roman" w:cs="Times New Roman"/>
        </w:rPr>
      </w:pPr>
      <w:r>
        <w:rPr>
          <w:rFonts w:ascii="Times New Roman" w:hAnsi="Times New Roman" w:eastAsia="Times New Roman" w:cs="Times New Roman"/>
          <w:rtl w:val="0"/>
        </w:rPr>
        <w:t>The project team proposed FSCM under the guidance of the supervisor, Ms. Le Thi Quynh Chi, to close these gaps. FSCM links Batch/Lot goods receipt with QR labels, mobile sales ordering (online and offline), FEFO-based allocation across warehouses, order approval, QR-verified picking and goods issue, retailer receipt confirmation, payment status, and sales performance tracking in one auditable flow.</w:t>
      </w:r>
    </w:p>
    <w:p w14:paraId="0000008F">
      <w:pPr>
        <w:widowControl/>
        <w:jc w:val="both"/>
        <w:rPr>
          <w:rFonts w:ascii="Times New Roman" w:hAnsi="Times New Roman" w:eastAsia="Times New Roman" w:cs="Times New Roman"/>
          <w:sz w:val="22"/>
          <w:szCs w:val="22"/>
        </w:rPr>
      </w:pPr>
    </w:p>
    <w:p w14:paraId="00000090">
      <w:pPr>
        <w:pStyle w:val="3"/>
        <w:keepNext/>
        <w:rPr>
          <w:rFonts w:ascii="Times New Roman" w:hAnsi="Times New Roman" w:eastAsia="Times New Roman" w:cs="Times New Roman"/>
        </w:rPr>
      </w:pPr>
      <w:r>
        <w:rPr>
          <w:rFonts w:ascii="Times New Roman" w:hAnsi="Times New Roman" w:eastAsia="Times New Roman" w:cs="Times New Roman"/>
          <w:rtl w:val="0"/>
        </w:rPr>
        <w:t>3. Existing Systems</w:t>
      </w:r>
    </w:p>
    <w:p w14:paraId="3A06FB34">
      <w:pPr>
        <w:jc w:val="both"/>
        <w:rPr>
          <w:rFonts w:ascii="Times New Roman" w:hAnsi="Times New Roman" w:eastAsia="Times New Roman" w:cs="Times New Roman"/>
        </w:rPr>
      </w:pPr>
      <w:r>
        <w:rPr>
          <w:rFonts w:ascii="Times New Roman" w:hAnsi="Times New Roman" w:eastAsia="Times New Roman" w:cs="Times New Roman"/>
          <w:rtl w:val="0"/>
        </w:rPr>
        <w:t>The following products provide useful references for batch inventory, FEFO picking, reservation, and order allocation. FSCM adopts relevant concepts while narrowing the solution to a distributor's field-sales ordering and multi-warehouse allocation flow.</w:t>
      </w:r>
    </w:p>
    <w:p w14:paraId="00000092">
      <w:pPr>
        <w:pStyle w:val="4"/>
        <w:keepNext/>
        <w:rPr>
          <w:rFonts w:ascii="Times New Roman" w:hAnsi="Times New Roman" w:eastAsia="Times New Roman" w:cs="Times New Roman"/>
        </w:rPr>
      </w:pPr>
      <w:r>
        <w:rPr>
          <w:rFonts w:ascii="Times New Roman" w:hAnsi="Times New Roman" w:eastAsia="Times New Roman" w:cs="Times New Roman"/>
          <w:rtl w:val="0"/>
        </w:rPr>
        <w:t>3.1 SAP Extended Warehouse Management</w:t>
      </w:r>
    </w:p>
    <w:p w14:paraId="00000093">
      <w:pPr>
        <w:widowControl/>
        <w:jc w:val="both"/>
        <w:rPr>
          <w:rFonts w:ascii="Times New Roman" w:hAnsi="Times New Roman" w:eastAsia="Times New Roman" w:cs="Times New Roman"/>
        </w:rPr>
      </w:pPr>
      <w:r>
        <w:rPr>
          <w:rFonts w:ascii="Times New Roman" w:hAnsi="Times New Roman" w:eastAsia="Times New Roman" w:cs="Times New Roman"/>
          <w:b/>
          <w:bCs/>
          <w:sz w:val="22"/>
          <w:szCs w:val="22"/>
          <w:rtl w:val="0"/>
        </w:rPr>
        <w:t xml:space="preserve">Users: </w:t>
      </w:r>
      <w:r>
        <w:rPr>
          <w:rFonts w:ascii="Times New Roman" w:hAnsi="Times New Roman" w:eastAsia="Times New Roman" w:cs="Times New Roman"/>
          <w:b w:val="0"/>
          <w:bCs w:val="0"/>
          <w:sz w:val="22"/>
          <w:szCs w:val="22"/>
          <w:rtl w:val="0"/>
        </w:rPr>
        <w:t xml:space="preserve">warehouse managers and warehouse operators. </w:t>
      </w:r>
      <w:r>
        <w:rPr>
          <w:rFonts w:ascii="Times New Roman" w:hAnsi="Times New Roman" w:eastAsia="Times New Roman" w:cs="Times New Roman"/>
          <w:b/>
          <w:bCs/>
          <w:sz w:val="22"/>
          <w:szCs w:val="22"/>
          <w:rtl w:val="0"/>
        </w:rPr>
        <w:t xml:space="preserve">Relevant capabilities: </w:t>
      </w:r>
      <w:r>
        <w:rPr>
          <w:rFonts w:ascii="Times New Roman" w:hAnsi="Times New Roman" w:eastAsia="Times New Roman" w:cs="Times New Roman"/>
          <w:b w:val="0"/>
          <w:bCs w:val="0"/>
          <w:sz w:val="22"/>
          <w:szCs w:val="22"/>
          <w:rtl w:val="0"/>
        </w:rPr>
        <w:t xml:space="preserve">batch stock, shelf-life expiration dates, warehouse execution, and delivery scheduling. </w:t>
      </w:r>
      <w:r>
        <w:rPr>
          <w:rFonts w:ascii="Times New Roman" w:hAnsi="Times New Roman" w:eastAsia="Times New Roman" w:cs="Times New Roman"/>
          <w:b/>
          <w:bCs/>
          <w:sz w:val="22"/>
          <w:szCs w:val="22"/>
          <w:rtl w:val="0"/>
        </w:rPr>
        <w:t xml:space="preserve">Strength: </w:t>
      </w:r>
      <w:r>
        <w:rPr>
          <w:rFonts w:ascii="Times New Roman" w:hAnsi="Times New Roman" w:eastAsia="Times New Roman" w:cs="Times New Roman"/>
          <w:b w:val="0"/>
          <w:bCs w:val="0"/>
          <w:sz w:val="22"/>
          <w:szCs w:val="22"/>
          <w:rtl w:val="0"/>
        </w:rPr>
        <w:t xml:space="preserve">mature control for complex enterprise warehouses. </w:t>
      </w:r>
      <w:r>
        <w:rPr>
          <w:rFonts w:ascii="Times New Roman" w:hAnsi="Times New Roman" w:eastAsia="Times New Roman" w:cs="Times New Roman"/>
          <w:b/>
          <w:bCs/>
          <w:sz w:val="22"/>
          <w:szCs w:val="22"/>
          <w:rtl w:val="0"/>
        </w:rPr>
        <w:t xml:space="preserve">Gap for this project: </w:t>
      </w:r>
      <w:r>
        <w:rPr>
          <w:rFonts w:ascii="Times New Roman" w:hAnsi="Times New Roman" w:eastAsia="Times New Roman" w:cs="Times New Roman"/>
          <w:b w:val="0"/>
          <w:bCs w:val="0"/>
          <w:sz w:val="22"/>
          <w:szCs w:val="22"/>
          <w:rtl w:val="0"/>
        </w:rPr>
        <w:t>its enterprise breadth and configuration effort exceed the focused MVP required for an SME distributor.</w:t>
      </w:r>
    </w:p>
    <w:p w14:paraId="00000094">
      <w:pPr>
        <w:keepNext w:val="0"/>
        <w:ind w:left="360" w:firstLine="0"/>
        <w:rPr>
          <w:rFonts w:ascii="Times New Roman" w:hAnsi="Times New Roman" w:eastAsia="Times New Roman" w:cs="Times New Roman"/>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"https://help.sap.com/docs/SAP_ERP/34fc810a607e4ae5a287b6e233b8566f/f18ec95360267214e10000000a174cb4.html" \h </w:instrText>
      </w:r>
      <w:r>
        <w:fldChar w:fldCharType="separate"/>
      </w:r>
      <w:r>
        <w:rPr>
          <w:rFonts w:ascii="Times New Roman" w:hAnsi="Times New Roman" w:eastAsia="Times New Roman" w:cs="Times New Roman"/>
          <w:color w:val="0563C1"/>
          <w:sz w:val="22"/>
          <w:szCs w:val="22"/>
          <w:u w:val="single"/>
          <w:rtl w:val="0"/>
        </w:rPr>
        <w:t>https://help.sap.com/docs/SAP_ERP/34fc810a607e4ae5a287b6e233b8566f/f18ec95360267214e10000000a174cb4.html</w:t>
      </w:r>
      <w:r>
        <w:rPr>
          <w:rFonts w:ascii="Times New Roman" w:hAnsi="Times New Roman" w:eastAsia="Times New Roman" w:cs="Times New Roman"/>
          <w:color w:val="0563C1"/>
          <w:sz w:val="22"/>
          <w:szCs w:val="22"/>
          <w:u w:val="single"/>
          <w:rtl w:val="0"/>
        </w:rPr>
        <w:fldChar w:fldCharType="end"/>
      </w:r>
    </w:p>
    <w:p w14:paraId="00000095">
      <w:pPr>
        <w:pStyle w:val="4"/>
        <w:keepNext/>
        <w:rPr>
          <w:rFonts w:ascii="Times New Roman" w:hAnsi="Times New Roman" w:eastAsia="Times New Roman" w:cs="Times New Roman"/>
        </w:rPr>
      </w:pPr>
      <w:r>
        <w:rPr>
          <w:rFonts w:ascii="Times New Roman" w:hAnsi="Times New Roman" w:eastAsia="Times New Roman" w:cs="Times New Roman"/>
          <w:rtl w:val="0"/>
        </w:rPr>
        <w:t>3.2 Microsoft Dynamics 365 Supply Chain Management</w:t>
      </w:r>
    </w:p>
    <w:p w14:paraId="4028F046">
      <w:pPr>
        <w:jc w:val="both"/>
        <w:rPr>
          <w:rFonts w:ascii="Times New Roman" w:hAnsi="Times New Roman" w:eastAsia="Times New Roman" w:cs="Times New Roman"/>
        </w:rPr>
      </w:pPr>
      <w:r>
        <w:rPr>
          <w:rFonts w:ascii="Times New Roman" w:hAnsi="Times New Roman" w:eastAsia="Times New Roman" w:cs="Times New Roman"/>
          <w:rtl w:val="0"/>
        </w:rPr>
        <w:t>Users: inventory, order, and warehouse teams. Relevant capabilities: sales-order inventory reservation, batch control, and warehouse reservation policies. Strength: integrated order and inventory visibility. Gap for this project: it does not provide a lightweight flow in which field-sales orders, including orders captured offline, are allocated by FEFO and MLOR across several warehouses before approval.</w:t>
      </w:r>
    </w:p>
    <w:p w14:paraId="00000097">
      <w:pPr>
        <w:keepNext w:val="0"/>
        <w:ind w:left="360" w:firstLine="0"/>
        <w:rPr>
          <w:rFonts w:ascii="Times New Roman" w:hAnsi="Times New Roman" w:eastAsia="Times New Roman" w:cs="Times New Roman"/>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"https://learn.microsoft.com/en-us/dynamics365/supply-chain/inventory/reserve-inventory-quantities" \h </w:instrText>
      </w:r>
      <w:r>
        <w:fldChar w:fldCharType="separate"/>
      </w:r>
      <w:r>
        <w:rPr>
          <w:rFonts w:ascii="Times New Roman" w:hAnsi="Times New Roman" w:eastAsia="Times New Roman" w:cs="Times New Roman"/>
          <w:color w:val="0563C1"/>
          <w:sz w:val="22"/>
          <w:szCs w:val="22"/>
          <w:u w:val="single"/>
          <w:rtl w:val="0"/>
        </w:rPr>
        <w:t>https://learn.microsoft.com/en-us/dynamics365/supply-chain/inventory/reserve-inventory-quantities</w:t>
      </w:r>
      <w:r>
        <w:rPr>
          <w:rFonts w:ascii="Times New Roman" w:hAnsi="Times New Roman" w:eastAsia="Times New Roman" w:cs="Times New Roman"/>
          <w:color w:val="0563C1"/>
          <w:sz w:val="22"/>
          <w:szCs w:val="22"/>
          <w:u w:val="single"/>
          <w:rtl w:val="0"/>
        </w:rPr>
        <w:fldChar w:fldCharType="end"/>
      </w:r>
    </w:p>
    <w:p w14:paraId="00000098">
      <w:pPr>
        <w:pStyle w:val="4"/>
        <w:keepNext/>
        <w:rPr>
          <w:rFonts w:ascii="Times New Roman" w:hAnsi="Times New Roman" w:eastAsia="Times New Roman" w:cs="Times New Roman"/>
        </w:rPr>
      </w:pPr>
      <w:r>
        <w:rPr>
          <w:rFonts w:ascii="Times New Roman" w:hAnsi="Times New Roman" w:eastAsia="Times New Roman" w:cs="Times New Roman"/>
          <w:rtl w:val="0"/>
        </w:rPr>
        <w:t>3.3 Odoo Inventory</w:t>
      </w:r>
    </w:p>
    <w:p w14:paraId="00000099">
      <w:pPr>
        <w:widowControl/>
        <w:jc w:val="both"/>
        <w:rPr>
          <w:rFonts w:ascii="Times New Roman" w:hAnsi="Times New Roman" w:eastAsia="Times New Roman" w:cs="Times New Roman"/>
        </w:rPr>
      </w:pPr>
      <w:r>
        <w:rPr>
          <w:rFonts w:ascii="Times New Roman" w:hAnsi="Times New Roman" w:eastAsia="Times New Roman" w:cs="Times New Roman"/>
          <w:b/>
          <w:bCs/>
          <w:sz w:val="22"/>
          <w:szCs w:val="22"/>
          <w:rtl w:val="0"/>
        </w:rPr>
        <w:t xml:space="preserve">Users: </w:t>
      </w:r>
      <w:r>
        <w:rPr>
          <w:rFonts w:ascii="Times New Roman" w:hAnsi="Times New Roman" w:eastAsia="Times New Roman" w:cs="Times New Roman"/>
          <w:b w:val="0"/>
          <w:bCs w:val="0"/>
          <w:sz w:val="22"/>
          <w:szCs w:val="22"/>
          <w:rtl w:val="0"/>
        </w:rPr>
        <w:t xml:space="preserve">inventory managers, warehouse operators, and sales users. </w:t>
      </w:r>
      <w:r>
        <w:rPr>
          <w:rFonts w:ascii="Times New Roman" w:hAnsi="Times New Roman" w:eastAsia="Times New Roman" w:cs="Times New Roman"/>
          <w:b/>
          <w:bCs/>
          <w:sz w:val="22"/>
          <w:szCs w:val="22"/>
          <w:rtl w:val="0"/>
        </w:rPr>
        <w:t xml:space="preserve">Relevant capabilities: </w:t>
      </w:r>
      <w:r>
        <w:rPr>
          <w:rFonts w:ascii="Times New Roman" w:hAnsi="Times New Roman" w:eastAsia="Times New Roman" w:cs="Times New Roman"/>
          <w:b w:val="0"/>
          <w:bCs w:val="0"/>
          <w:sz w:val="22"/>
          <w:szCs w:val="22"/>
          <w:rtl w:val="0"/>
        </w:rPr>
        <w:t xml:space="preserve">lot tracking, expiration dates, and FEFO removal strategies. </w:t>
      </w:r>
      <w:r>
        <w:rPr>
          <w:rFonts w:ascii="Times New Roman" w:hAnsi="Times New Roman" w:eastAsia="Times New Roman" w:cs="Times New Roman"/>
          <w:b/>
          <w:bCs/>
          <w:sz w:val="22"/>
          <w:szCs w:val="22"/>
          <w:rtl w:val="0"/>
        </w:rPr>
        <w:t xml:space="preserve">Strength: </w:t>
      </w:r>
      <w:r>
        <w:rPr>
          <w:rFonts w:ascii="Times New Roman" w:hAnsi="Times New Roman" w:eastAsia="Times New Roman" w:cs="Times New Roman"/>
          <w:b w:val="0"/>
          <w:bCs w:val="0"/>
          <w:sz w:val="22"/>
          <w:szCs w:val="22"/>
          <w:rtl w:val="0"/>
        </w:rPr>
        <w:t xml:space="preserve">a modular and comparatively accessible inventory workflow. </w:t>
      </w:r>
      <w:r>
        <w:rPr>
          <w:rFonts w:ascii="Times New Roman" w:hAnsi="Times New Roman" w:eastAsia="Times New Roman" w:cs="Times New Roman"/>
          <w:b/>
          <w:bCs/>
          <w:sz w:val="22"/>
          <w:szCs w:val="22"/>
          <w:rtl w:val="0"/>
        </w:rPr>
        <w:t xml:space="preserve">Gap for this project: </w:t>
      </w:r>
      <w:r>
        <w:rPr>
          <w:rFonts w:ascii="Times New Roman" w:hAnsi="Times New Roman" w:eastAsia="Times New Roman" w:cs="Times New Roman"/>
          <w:b w:val="0"/>
          <w:bCs w:val="0"/>
          <w:sz w:val="22"/>
          <w:szCs w:val="22"/>
          <w:rtl w:val="0"/>
        </w:rPr>
        <w:t>standard FEFO removal does not express the project's ETA-based MLOR filter, atomic reservation, and split fulfillment rules as one process.</w:t>
      </w:r>
    </w:p>
    <w:p w14:paraId="0000009A">
      <w:pPr>
        <w:keepNext w:val="0"/>
        <w:ind w:left="360" w:firstLine="0"/>
        <w:rPr>
          <w:rFonts w:ascii="Times New Roman" w:hAnsi="Times New Roman" w:eastAsia="Times New Roman" w:cs="Times New Roman"/>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"https://www.odoo.com/documentation/19.0/applications/inventory_and_mrp/inventory/shipping_receiving/removal_strategies/fefo.html" \h </w:instrText>
      </w:r>
      <w:r>
        <w:fldChar w:fldCharType="separate"/>
      </w:r>
      <w:r>
        <w:rPr>
          <w:rFonts w:ascii="Times New Roman" w:hAnsi="Times New Roman" w:eastAsia="Times New Roman" w:cs="Times New Roman"/>
          <w:color w:val="0563C1"/>
          <w:sz w:val="22"/>
          <w:szCs w:val="22"/>
          <w:u w:val="single"/>
          <w:rtl w:val="0"/>
        </w:rPr>
        <w:t>https://www.odoo.com/documentation/19.0/applications/inventory_and_mrp/inventory/shipping_receiving/removal_strategies/fefo.html</w:t>
      </w:r>
      <w:r>
        <w:rPr>
          <w:rFonts w:ascii="Times New Roman" w:hAnsi="Times New Roman" w:eastAsia="Times New Roman" w:cs="Times New Roman"/>
          <w:color w:val="0563C1"/>
          <w:sz w:val="22"/>
          <w:szCs w:val="22"/>
          <w:u w:val="single"/>
          <w:rtl w:val="0"/>
        </w:rPr>
        <w:fldChar w:fldCharType="end"/>
      </w:r>
    </w:p>
    <w:p w14:paraId="0000009B">
      <w:pPr>
        <w:pStyle w:val="4"/>
        <w:keepNext/>
        <w:rPr>
          <w:rFonts w:ascii="Times New Roman" w:hAnsi="Times New Roman" w:eastAsia="Times New Roman" w:cs="Times New Roman"/>
        </w:rPr>
      </w:pPr>
      <w:r>
        <w:rPr>
          <w:rFonts w:ascii="Times New Roman" w:hAnsi="Times New Roman" w:eastAsia="Times New Roman" w:cs="Times New Roman"/>
          <w:rtl w:val="0"/>
        </w:rPr>
        <w:t>3.4 Oracle NetSuite WMS</w:t>
      </w:r>
    </w:p>
    <w:p w14:paraId="0000009C">
      <w:pPr>
        <w:widowControl/>
        <w:jc w:val="both"/>
        <w:rPr>
          <w:rFonts w:ascii="Times New Roman" w:hAnsi="Times New Roman" w:eastAsia="Times New Roman" w:cs="Times New Roman"/>
        </w:rPr>
      </w:pPr>
      <w:r>
        <w:rPr>
          <w:rFonts w:ascii="Times New Roman" w:hAnsi="Times New Roman" w:eastAsia="Times New Roman" w:cs="Times New Roman"/>
          <w:b/>
          <w:bCs/>
          <w:sz w:val="22"/>
          <w:szCs w:val="22"/>
          <w:rtl w:val="0"/>
        </w:rPr>
        <w:t xml:space="preserve">Users: </w:t>
      </w:r>
      <w:r>
        <w:rPr>
          <w:rFonts w:ascii="Times New Roman" w:hAnsi="Times New Roman" w:eastAsia="Times New Roman" w:cs="Times New Roman"/>
          <w:b w:val="0"/>
          <w:bCs w:val="0"/>
          <w:sz w:val="22"/>
          <w:szCs w:val="22"/>
          <w:rtl w:val="0"/>
        </w:rPr>
        <w:t xml:space="preserve">warehouse managers, order managers, and warehouse operators. </w:t>
      </w:r>
      <w:r>
        <w:rPr>
          <w:rFonts w:ascii="Times New Roman" w:hAnsi="Times New Roman" w:eastAsia="Times New Roman" w:cs="Times New Roman"/>
          <w:b/>
          <w:bCs/>
          <w:sz w:val="22"/>
          <w:szCs w:val="22"/>
          <w:rtl w:val="0"/>
        </w:rPr>
        <w:t xml:space="preserve">Relevant capabilities: </w:t>
      </w:r>
      <w:r>
        <w:rPr>
          <w:rFonts w:ascii="Times New Roman" w:hAnsi="Times New Roman" w:eastAsia="Times New Roman" w:cs="Times New Roman"/>
          <w:b w:val="0"/>
          <w:bCs w:val="0"/>
          <w:sz w:val="22"/>
          <w:szCs w:val="22"/>
          <w:rtl w:val="0"/>
        </w:rPr>
        <w:t xml:space="preserve">lot-numbered inventory, FEFO lot assignment, and expiry-date validation. </w:t>
      </w:r>
      <w:r>
        <w:rPr>
          <w:rFonts w:ascii="Times New Roman" w:hAnsi="Times New Roman" w:eastAsia="Times New Roman" w:cs="Times New Roman"/>
          <w:b/>
          <w:bCs/>
          <w:sz w:val="22"/>
          <w:szCs w:val="22"/>
          <w:rtl w:val="0"/>
        </w:rPr>
        <w:t xml:space="preserve">Strength: </w:t>
      </w:r>
      <w:r>
        <w:rPr>
          <w:rFonts w:ascii="Times New Roman" w:hAnsi="Times New Roman" w:eastAsia="Times New Roman" w:cs="Times New Roman"/>
          <w:b w:val="0"/>
          <w:bCs w:val="0"/>
          <w:sz w:val="22"/>
          <w:szCs w:val="22"/>
          <w:rtl w:val="0"/>
        </w:rPr>
        <w:t xml:space="preserve">FEFO support within a broader cloud ERP environment. </w:t>
      </w:r>
      <w:r>
        <w:rPr>
          <w:rFonts w:ascii="Times New Roman" w:hAnsi="Times New Roman" w:eastAsia="Times New Roman" w:cs="Times New Roman"/>
          <w:b/>
          <w:bCs/>
          <w:sz w:val="22"/>
          <w:szCs w:val="22"/>
          <w:rtl w:val="0"/>
        </w:rPr>
        <w:t xml:space="preserve">Gap for this project: </w:t>
      </w:r>
      <w:r>
        <w:rPr>
          <w:rFonts w:ascii="Times New Roman" w:hAnsi="Times New Roman" w:eastAsia="Times New Roman" w:cs="Times New Roman"/>
          <w:b w:val="0"/>
          <w:bCs w:val="0"/>
          <w:sz w:val="22"/>
          <w:szCs w:val="22"/>
          <w:rtl w:val="0"/>
        </w:rPr>
        <w:t>its broader ERP scope is not tailored to the project's lightweight SME workflow and documented FEFO-MLOR heuristic.</w:t>
      </w:r>
    </w:p>
    <w:p w14:paraId="0000009D">
      <w:pPr>
        <w:keepNext w:val="0"/>
        <w:ind w:left="360" w:firstLine="0"/>
        <w:rPr>
          <w:rFonts w:ascii="Times New Roman" w:hAnsi="Times New Roman" w:eastAsia="Times New Roman" w:cs="Times New Roman"/>
          <w:color w:val="0563C1"/>
          <w:sz w:val="22"/>
          <w:szCs w:val="22"/>
          <w:u w:val="single"/>
        </w:rPr>
      </w:pPr>
      <w:r>
        <w:rPr>
          <w:rFonts w:ascii="Times New Roman" w:hAnsi="Times New Roman" w:eastAsia="Times New Roman" w:cs="Times New Roman"/>
          <w:i/>
          <w:iCs/>
          <w:sz w:val="20"/>
          <w:szCs w:val="20"/>
          <w:rtl w:val="0"/>
        </w:rPr>
        <w:t xml:space="preserve">Official reference: </w:t>
      </w:r>
      <w:r>
        <w:fldChar w:fldCharType="begin"/>
      </w:r>
      <w:r>
        <w:instrText xml:space="preserve"> HYPERLINK "https://docs.oracle.com/en/cloud/saas/netsuite/ns-online-help/article_161009052865.html" \h </w:instrText>
      </w:r>
      <w:r>
        <w:fldChar w:fldCharType="separate"/>
      </w:r>
      <w:r>
        <w:rPr>
          <w:rFonts w:ascii="Times New Roman" w:hAnsi="Times New Roman" w:eastAsia="Times New Roman" w:cs="Times New Roman"/>
          <w:color w:val="0563C1"/>
          <w:sz w:val="22"/>
          <w:szCs w:val="22"/>
          <w:u w:val="single"/>
          <w:rtl w:val="0"/>
        </w:rPr>
        <w:t>https://docs.oracle.com/en/cloud/saas/netsuite/ns-online-help/article_161009052865.html</w:t>
      </w:r>
      <w:r>
        <w:rPr>
          <w:rFonts w:ascii="Times New Roman" w:hAnsi="Times New Roman" w:eastAsia="Times New Roman" w:cs="Times New Roman"/>
          <w:color w:val="0563C1"/>
          <w:sz w:val="22"/>
          <w:szCs w:val="22"/>
          <w:u w:val="single"/>
          <w:rtl w:val="0"/>
        </w:rPr>
        <w:fldChar w:fldCharType="end"/>
      </w:r>
    </w:p>
    <w:p w14:paraId="0000009E">
      <w:pPr>
        <w:keepNext w:val="0"/>
        <w:ind w:left="360" w:firstLine="0"/>
        <w:rPr>
          <w:rFonts w:ascii="Times New Roman" w:hAnsi="Times New Roman" w:eastAsia="Times New Roman" w:cs="Times New Roman"/>
          <w:color w:val="0563C1"/>
          <w:sz w:val="22"/>
          <w:szCs w:val="22"/>
          <w:u w:val="single"/>
        </w:rPr>
      </w:pPr>
    </w:p>
    <w:p w14:paraId="0000009F">
      <w:pPr>
        <w:pStyle w:val="3"/>
        <w:keepNext/>
        <w:rPr>
          <w:rFonts w:ascii="Times New Roman" w:hAnsi="Times New Roman" w:eastAsia="Times New Roman" w:cs="Times New Roman"/>
        </w:rPr>
      </w:pPr>
      <w:r>
        <w:rPr>
          <w:rFonts w:ascii="Times New Roman" w:hAnsi="Times New Roman" w:eastAsia="Times New Roman" w:cs="Times New Roman"/>
          <w:rtl w:val="0"/>
        </w:rPr>
        <w:t>4. Business Opportunity</w:t>
      </w:r>
    </w:p>
    <w:p w14:paraId="6E255B2D">
      <w:pPr>
        <w:jc w:val="both"/>
        <w:rPr>
          <w:rFonts w:ascii="Times New Roman" w:hAnsi="Times New Roman" w:eastAsia="Times New Roman" w:cs="Times New Roman"/>
        </w:rPr>
      </w:pPr>
      <w:r>
        <w:rPr>
          <w:rFonts w:ascii="Times New Roman" w:hAnsi="Times New Roman" w:eastAsia="Times New Roman" w:cs="Times New Roman"/>
          <w:rtl w:val="0"/>
        </w:rPr>
        <w:t>FSCM addresses the gap between spreadsheets or basic inventory tools and large enterprise warehouse or ERP suites. A small or medium FMCG distributor needs Batch/Lot and expiry visibility, dependable order allocation, field-sales ordering that keeps working offline, and traceable evidence from warehouse issue to retailer receipt, without the cost and configuration effort of an enterprise system.</w:t>
      </w:r>
    </w:p>
    <w:p w14:paraId="0084429E">
      <w:pPr>
        <w:jc w:val="both"/>
        <w:rPr>
          <w:rFonts w:ascii="Times New Roman" w:hAnsi="Times New Roman" w:eastAsia="Times New Roman" w:cs="Times New Roman"/>
        </w:rPr>
      </w:pPr>
      <w:r>
        <w:rPr>
          <w:rFonts w:ascii="Times New Roman" w:hAnsi="Times New Roman" w:eastAsia="Times New Roman" w:cs="Times New Roman"/>
          <w:rtl w:val="0"/>
        </w:rPr>
        <w:t>When an order is submitted, FSCM selects warehouses and batches automatically. It excludes expired stock and batches that would not meet the retailer's minimum life on receipt (MLOR) at the estimated arrival, then applies FEFO across the remaining batches, using distance and available quantity only as tie-breakers. Orders are processed in the sequence in which they reach the server, so an offline order that arrives after the stock has been allocated to another order is rejected with a clear reason instead of causing double-booking. QR labels link each issued batch quantity to the retailer's receipt confirmation, and dashboards give the distributor visibility of orders, revenue, and sales performance.</w:t>
      </w:r>
    </w:p>
    <w:p w14:paraId="000000A2">
      <w:pPr>
        <w:widowControl/>
        <w:jc w:val="both"/>
        <w:rPr>
          <w:rFonts w:ascii="Times New Roman" w:hAnsi="Times New Roman" w:eastAsia="Times New Roman" w:cs="Times New Roman"/>
          <w:sz w:val="22"/>
          <w:szCs w:val="22"/>
        </w:rPr>
      </w:pPr>
    </w:p>
    <w:p w14:paraId="000000A3">
      <w:pPr>
        <w:pStyle w:val="3"/>
        <w:keepNext/>
        <w:rPr>
          <w:rFonts w:ascii="Times New Roman" w:hAnsi="Times New Roman" w:eastAsia="Times New Roman" w:cs="Times New Roman"/>
        </w:rPr>
      </w:pPr>
      <w:r>
        <w:rPr>
          <w:rFonts w:ascii="Times New Roman" w:hAnsi="Times New Roman" w:eastAsia="Times New Roman" w:cs="Times New Roman"/>
          <w:rtl w:val="0"/>
        </w:rPr>
        <w:t>5. Software Product Vision</w:t>
      </w:r>
    </w:p>
    <w:p w14:paraId="72789528">
      <w:pPr>
        <w:jc w:val="both"/>
        <w:rPr>
          <w:rFonts w:ascii="Times New Roman" w:hAnsi="Times New Roman" w:eastAsia="Times New Roman" w:cs="Times New Roman"/>
        </w:rPr>
      </w:pPr>
      <w:r>
        <w:rPr>
          <w:rFonts w:ascii="Times New Roman" w:hAnsi="Times New Roman" w:eastAsia="Times New Roman" w:cs="Times New Roman"/>
          <w:rtl w:val="0"/>
        </w:rPr>
        <w:t>For an FMCG distributor that sells short shelf-life products through field Sales Representatives, FSCM is a web portal and mobile system that manages Batch/Lot inventory, sales ordering, FEFO-based multi-warehouse allocation, order approval, QR-verified goods issue, and retailer receipt confirmation. Unlike SKU-level inventory tools or general sales-order applications, FSCM decides which batch in which warehouse serves each order and keeps a traceable link from goods receipt to the retailer's confirmation. The expected result is fewer expired or near-expired shipments, no double-booking between concurrent or offline orders, and clear visibility of orders, payments, and sales performance.</w:t>
      </w:r>
    </w:p>
    <w:p w14:paraId="663AC415">
      <w:pPr>
        <w:jc w:val="both"/>
        <w:rPr>
          <w:rFonts w:ascii="Times New Roman" w:hAnsi="Times New Roman" w:eastAsia="Times New Roman" w:cs="Times New Roman"/>
        </w:rPr>
      </w:pPr>
      <w:r>
        <w:rPr>
          <w:rFonts w:ascii="Times New Roman" w:hAnsi="Times New Roman" w:eastAsia="Times New Roman" w:cs="Times New Roman"/>
          <w:rtl w:val="0"/>
        </w:rPr>
        <w:t>The web portal is built with React and Chart.js, the mobile application with Flutter, and the REST services with ASP.NET Core Web API on Azure Database for PostgreSQL. The mobile application keeps reference data and pending orders in a local SQLite database and synchronizes them in the background when connectivity returns. Microsoft Entra ID supports sign-in, Azure Blob Storage stores images and label files, and Azure Notification Hubs delivers push notifications. A PostgreSQL transactional outbox with a background worker and Azure Functions Timer Trigger handles asynchronous and scheduled processing, while Vercel, GitHub Actions, Azure Monitor, and Azure Key Vault support deployment and operations.</w:t>
      </w:r>
    </w:p>
    <w:p w14:paraId="000000A6">
      <w:pPr>
        <w:widowControl/>
        <w:jc w:val="both"/>
        <w:rPr>
          <w:rFonts w:ascii="Times New Roman" w:hAnsi="Times New Roman" w:eastAsia="Times New Roman" w:cs="Times New Roman"/>
          <w:sz w:val="22"/>
          <w:szCs w:val="22"/>
        </w:rPr>
      </w:pPr>
    </w:p>
    <w:p w14:paraId="000000A7">
      <w:pPr>
        <w:pStyle w:val="3"/>
        <w:keepNext/>
        <w:rPr>
          <w:rFonts w:ascii="Times New Roman" w:hAnsi="Times New Roman" w:eastAsia="Times New Roman" w:cs="Times New Roman"/>
        </w:rPr>
      </w:pPr>
      <w:r>
        <w:rPr>
          <w:rFonts w:ascii="Times New Roman" w:hAnsi="Times New Roman" w:eastAsia="Times New Roman" w:cs="Times New Roman"/>
          <w:rtl w:val="0"/>
        </w:rPr>
        <w:t>6. Project Scope &amp; Limitations</w:t>
      </w:r>
    </w:p>
    <w:p w14:paraId="38E763CE">
      <w:pPr>
        <w:jc w:val="both"/>
        <w:rPr>
          <w:rFonts w:ascii="Times New Roman" w:hAnsi="Times New Roman" w:eastAsia="Times New Roman" w:cs="Times New Roman"/>
        </w:rPr>
      </w:pPr>
      <w:r>
        <w:rPr>
          <w:rFonts w:ascii="Times New Roman" w:hAnsi="Times New Roman" w:eastAsia="Times New Roman" w:cs="Times New Roman"/>
          <w:rtl w:val="0"/>
        </w:rPr>
        <w:t>The MVP covers one distributor's flow from Batch/Lot goods receipt to retailer receipt confirmation: retailer and sales-territory management, mobile sales ordering with offline synchronization, FEFO-MLOR allocation across warehouses, order approval, QR-verified picking and goods issue, delivery status, payment status, notifications, dashboards, and sales performance. The system has six user roles: Administrator, Operator, Sales Manager, Warehouse Keeper, Sales Representative, and Retailer. Transportation planning, forecasting, and other advanced functions are outside the MVP.</w:t>
      </w:r>
    </w:p>
    <w:p w14:paraId="000000A9">
      <w:pPr>
        <w:pStyle w:val="4"/>
        <w:keepNext/>
        <w:rPr>
          <w:rFonts w:ascii="Times New Roman" w:hAnsi="Times New Roman" w:eastAsia="Times New Roman" w:cs="Times New Roman"/>
        </w:rPr>
      </w:pPr>
      <w:r>
        <w:rPr>
          <w:rFonts w:ascii="Times New Roman" w:hAnsi="Times New Roman" w:eastAsia="Times New Roman" w:cs="Times New Roman"/>
          <w:rtl w:val="0"/>
        </w:rPr>
        <w:t>6.1 Major Features</w:t>
      </w:r>
    </w:p>
    <w:p w14:paraId="000000AA">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FE-01: User and access management. </w:t>
      </w:r>
      <w:r>
        <w:rPr>
          <w:rFonts w:ascii="Times New Roman" w:hAnsi="Times New Roman" w:eastAsia="Times New Roman" w:cs="Times New Roman"/>
          <w:rtl w:val="0"/>
        </w:rPr>
        <w:t>The Administrator creates and manages portal accounts (Administrator, Operator, Sales Manager, Warehouse Keeper) and mobile accounts (Sales Representative, Retailer), and assigns roles and warehouse scope. Retailers cannot self-register. Role-based permissions apply to every action, and key actions are recorded in an audit trail.</w:t>
      </w:r>
    </w:p>
    <w:p w14:paraId="000000AB">
      <w:pPr>
        <w:spacing w:after="60" w:line="240" w:lineRule="auto"/>
        <w:ind w:left="630"/>
        <w:jc w:val="both"/>
        <w:rPr>
          <w:rFonts w:ascii="Times New Roman" w:hAnsi="Times New Roman" w:eastAsia="Times New Roman" w:cs="Times New Roman"/>
          <w:b/>
          <w:bCs/>
        </w:rPr>
      </w:pPr>
    </w:p>
    <w:p w14:paraId="1C8A1009">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FE-02: Master data. </w:t>
      </w:r>
      <w:r>
        <w:rPr>
          <w:rFonts w:ascii="Times New Roman" w:hAnsi="Times New Roman" w:eastAsia="Times New Roman" w:cs="Times New Roman"/>
          <w:rtl w:val="0"/>
        </w:rPr>
        <w:t>Manage SKUs (category, price, total shelf life, near-date threshold), warehouses (address and coordinates used to calculate distance), retailer-SKU MLOR values, distance-based transit-time rules, and basic promotions shown at order confirmation.</w:t>
      </w:r>
    </w:p>
    <w:p w14:paraId="311CE558">
      <w:pPr>
        <w:spacing w:after="60" w:line="240" w:lineRule="auto"/>
        <w:ind w:left="630"/>
        <w:jc w:val="both"/>
        <w:rPr>
          <w:rFonts w:ascii="Times New Roman" w:hAnsi="Times New Roman" w:eastAsia="Times New Roman" w:cs="Times New Roman"/>
          <w:b/>
          <w:bCs/>
        </w:rPr>
      </w:pPr>
    </w:p>
    <w:p w14:paraId="6676F6B8">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FE-03: Retailer and sales-territory management. </w:t>
      </w:r>
      <w:r>
        <w:rPr>
          <w:rFonts w:ascii="Times New Roman" w:hAnsi="Times New Roman" w:eastAsia="Times New Roman" w:cs="Times New Roman"/>
          <w:rtl w:val="0"/>
        </w:rPr>
        <w:t>The Administrator or Operator creates or imports retailer profiles; a Sales Representative may declare a new retailer, which becomes active only after approval. The Sales Manager defines regions and sales groups and assigns or rotates Sales Representatives. Members of a group share visibility of the group's retailers and orders, while each order is credited to the Sales Representative who created it.</w:t>
      </w:r>
    </w:p>
    <w:p w14:paraId="292F728E">
      <w:pPr>
        <w:spacing w:after="60" w:line="240" w:lineRule="auto"/>
        <w:ind w:left="630"/>
        <w:jc w:val="both"/>
        <w:rPr>
          <w:rFonts w:ascii="Times New Roman" w:hAnsi="Times New Roman" w:eastAsia="Times New Roman" w:cs="Times New Roman"/>
          <w:b/>
          <w:bCs/>
        </w:rPr>
      </w:pPr>
    </w:p>
    <w:p w14:paraId="040BB35C">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FE-04: Goods receipt, Batch/Lot, and QR labels. </w:t>
      </w:r>
      <w:r>
        <w:rPr>
          <w:rFonts w:ascii="Times New Roman" w:hAnsi="Times New Roman" w:eastAsia="Times New Roman" w:cs="Times New Roman"/>
          <w:rtl w:val="0"/>
        </w:rPr>
        <w:t>The Warehouse Keeper records the SKU, Batch ID, expiration date, and quantity of each receipt, and the system generates a QR key that maps the Batch ID to the labeled quantity. A daily date tracker moves batches from Normal to Near-date to Expired, and expired batches cannot be allocated or issued.</w:t>
      </w:r>
    </w:p>
    <w:p w14:paraId="38866117">
      <w:pPr>
        <w:spacing w:after="60" w:line="240" w:lineRule="auto"/>
        <w:ind w:left="630"/>
        <w:jc w:val="both"/>
        <w:rPr>
          <w:rFonts w:ascii="Times New Roman" w:hAnsi="Times New Roman" w:eastAsia="Times New Roman" w:cs="Times New Roman"/>
          <w:b/>
          <w:bCs/>
        </w:rPr>
      </w:pPr>
    </w:p>
    <w:p w14:paraId="5163BE0A">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FE-05: Mobile sales ordering. </w:t>
      </w:r>
      <w:r>
        <w:rPr>
          <w:rFonts w:ascii="Times New Roman" w:hAnsi="Times New Roman" w:eastAsia="Times New Roman" w:cs="Times New Roman"/>
          <w:rtl w:val="0"/>
        </w:rPr>
        <w:t>The Sales Representative selects an assigned active retailer, searches and filters the catalog, adds products to the cart, and confirms the order with the delivery address, applied promotions, totals, and payment method: prepaid by QR transfer or cash, or payment on delivery.</w:t>
      </w:r>
    </w:p>
    <w:p w14:paraId="5BC757FB">
      <w:pPr>
        <w:spacing w:after="60" w:line="240" w:lineRule="auto"/>
        <w:ind w:left="630"/>
        <w:jc w:val="both"/>
        <w:rPr>
          <w:rFonts w:ascii="Times New Roman" w:hAnsi="Times New Roman" w:eastAsia="Times New Roman" w:cs="Times New Roman"/>
          <w:b/>
          <w:bCs/>
        </w:rPr>
      </w:pPr>
    </w:p>
    <w:p w14:paraId="3FA319E9">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FE-06: Offline ordering and synchronization. </w:t>
      </w:r>
      <w:r>
        <w:rPr>
          <w:rFonts w:ascii="Times New Roman" w:hAnsi="Times New Roman" w:eastAsia="Times New Roman" w:cs="Times New Roman"/>
          <w:rtl w:val="0"/>
        </w:rPr>
        <w:t>The mobile application keeps retailers, products, prices, and promotions in a local SQLite database, lets the Sales Representative create orders offline, and queues them with an idempotency key. When connectivity returns, orders are synchronized automatically. The server processes all orders in the sequence in which they arrive, revalidates retailer, product, and price data, and rejects a later order that can no longer be fulfilled, notifying both the Sales Representative and the retailer.</w:t>
      </w:r>
    </w:p>
    <w:p w14:paraId="5C2E02AF">
      <w:pPr>
        <w:spacing w:after="60" w:line="240" w:lineRule="auto"/>
        <w:ind w:left="630"/>
        <w:jc w:val="both"/>
        <w:rPr>
          <w:rFonts w:ascii="Times New Roman" w:hAnsi="Times New Roman" w:eastAsia="Times New Roman" w:cs="Times New Roman"/>
          <w:b/>
          <w:bCs/>
        </w:rPr>
      </w:pPr>
    </w:p>
    <w:p w14:paraId="3C3074CB">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FE-07: FEFO-MLOR multi-warehouse allocation. </w:t>
      </w:r>
      <w:r>
        <w:rPr>
          <w:rFonts w:ascii="Times New Roman" w:hAnsi="Times New Roman" w:eastAsia="Times New Roman" w:cs="Times New Roman"/>
          <w:rtl w:val="0"/>
        </w:rPr>
        <w:t>For each SKU, the system excludes expired batches and batches whose remaining shelf life at the estimated arrival is below the retailer-SKU MLOR: EXP - ETA must be greater than or equal to m(c,s) x SL(s), where 0 &lt; m(c,s) &lt; 1. It ranks the remaining batches by earliest expiration date, then shorter distance, then larger available quantity, and allocates across several batches or warehouses when needed. If the full quantity cannot be allocated, the order is rejected automatically; otherwise the allocated quantities are held and the order moves to Pending Approval.</w:t>
      </w:r>
    </w:p>
    <w:p w14:paraId="621D1537">
      <w:pPr>
        <w:spacing w:after="60" w:line="240" w:lineRule="auto"/>
        <w:ind w:left="630"/>
        <w:jc w:val="both"/>
        <w:rPr>
          <w:rFonts w:ascii="Times New Roman" w:hAnsi="Times New Roman" w:eastAsia="Times New Roman" w:cs="Times New Roman"/>
          <w:b/>
          <w:bCs/>
        </w:rPr>
      </w:pPr>
    </w:p>
    <w:p w14:paraId="178A45AF">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FE-08: Order approval and lifecycle. </w:t>
      </w:r>
      <w:r>
        <w:rPr>
          <w:rFonts w:ascii="Times New Roman" w:hAnsi="Times New Roman" w:eastAsia="Times New Roman" w:cs="Times New Roman"/>
          <w:rtl w:val="0"/>
        </w:rPr>
        <w:t>The Administrator or Operator reviews the allocation (warehouse, batch, quantity, and distance) and approves or rejects the order with a reason. Approval generates picking lists and converts held quantities into reservations; rejection or cancellation releases them. Orders follow Pending Approval, Approved, Issued, Delivering, and Delivered, with Rejected and Cancelled as terminal states, and optimistic locking prevents two orders from taking the same stock.</w:t>
      </w:r>
    </w:p>
    <w:p w14:paraId="054D2B94">
      <w:pPr>
        <w:spacing w:after="60" w:line="240" w:lineRule="auto"/>
        <w:ind w:left="630"/>
        <w:jc w:val="both"/>
        <w:rPr>
          <w:rFonts w:ascii="Times New Roman" w:hAnsi="Times New Roman" w:eastAsia="Times New Roman" w:cs="Times New Roman"/>
          <w:b/>
          <w:bCs/>
        </w:rPr>
      </w:pPr>
    </w:p>
    <w:p w14:paraId="251A0678">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FE-09: Picking and goods issue with QR. </w:t>
      </w:r>
      <w:r>
        <w:rPr>
          <w:rFonts w:ascii="Times New Roman" w:hAnsi="Times New Roman" w:eastAsia="Times New Roman" w:cs="Times New Roman"/>
          <w:rtl w:val="0"/>
        </w:rPr>
        <w:t>The Warehouse Keeper picks by warehouse, batch, and quantity, scans the batch QR label, and confirms the issued quantity. The system generates a new QR label for the issued part and another for the quantity that remains in stock. Physical stock decreases only at this confirmation.</w:t>
      </w:r>
    </w:p>
    <w:p w14:paraId="1ABA7CD7">
      <w:pPr>
        <w:spacing w:after="60" w:line="240" w:lineRule="auto"/>
        <w:ind w:left="630"/>
        <w:jc w:val="both"/>
        <w:rPr>
          <w:rFonts w:ascii="Times New Roman" w:hAnsi="Times New Roman" w:eastAsia="Times New Roman" w:cs="Times New Roman"/>
          <w:b/>
          <w:bCs/>
        </w:rPr>
      </w:pPr>
    </w:p>
    <w:p w14:paraId="6A5D1586">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FE-10: Delivery status, receipt confirmation, and payment. </w:t>
      </w:r>
      <w:r>
        <w:rPr>
          <w:rFonts w:ascii="Times New Roman" w:hAnsi="Times New Roman" w:eastAsia="Times New Roman" w:cs="Times New Roman"/>
          <w:rtl w:val="0"/>
        </w:rPr>
        <w:t>The Operator marks issued orders as Delivering. The retailer scans the QR labels in the mobile application to confirm the received batches and quantities, which completes the order as Delivered, and pays on delivery when that method was chosen. Payment status is tracked separately from order status: prepaid transfers are confirmed by the Operator, and prepaid cash by the Sales Representative.</w:t>
      </w:r>
    </w:p>
    <w:p w14:paraId="0F7965D8">
      <w:pPr>
        <w:spacing w:after="60" w:line="240" w:lineRule="auto"/>
        <w:ind w:left="630"/>
        <w:jc w:val="both"/>
        <w:rPr>
          <w:rFonts w:ascii="Times New Roman" w:hAnsi="Times New Roman" w:eastAsia="Times New Roman" w:cs="Times New Roman"/>
          <w:b/>
          <w:bCs/>
        </w:rPr>
      </w:pPr>
    </w:p>
    <w:p w14:paraId="50D02F85">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FE-11: Order tracking and notifications. </w:t>
      </w:r>
      <w:r>
        <w:rPr>
          <w:rFonts w:ascii="Times New Roman" w:hAnsi="Times New Roman" w:eastAsia="Times New Roman" w:cs="Times New Roman"/>
          <w:rtl w:val="0"/>
        </w:rPr>
        <w:t>Sales Representatives and retailers view order history, order details, and status timelines, and receive push notifications for approval, rejection with its reason, and delivery. Retailers also view their order count and total amount paid for a selected period.</w:t>
      </w:r>
    </w:p>
    <w:p w14:paraId="0EA071AE">
      <w:pPr>
        <w:spacing w:after="60" w:line="240" w:lineRule="auto"/>
        <w:ind w:left="630"/>
        <w:jc w:val="both"/>
        <w:rPr>
          <w:rFonts w:ascii="Times New Roman" w:hAnsi="Times New Roman" w:eastAsia="Times New Roman" w:cs="Times New Roman"/>
          <w:b/>
          <w:bCs/>
        </w:rPr>
      </w:pPr>
    </w:p>
    <w:p w14:paraId="37644009">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FE-12: Dashboards and sales performance. </w:t>
      </w:r>
      <w:r>
        <w:rPr>
          <w:rFonts w:ascii="Times New Roman" w:hAnsi="Times New Roman" w:eastAsia="Times New Roman" w:cs="Times New Roman"/>
          <w:rtl w:val="0"/>
        </w:rPr>
        <w:t>The Administrator views order and revenue totals by status, retailer, Sales Representative, and period. Sales Representatives view their own orders and revenue filtered by retailer, region, and period. A sales leaderboard is visible to Sales Representatives and the Administrator, who approves rewards for top performers.</w:t>
      </w:r>
    </w:p>
    <w:p w14:paraId="182DE226">
      <w:pPr>
        <w:spacing w:after="60" w:line="240" w:lineRule="auto"/>
        <w:ind w:left="630"/>
        <w:jc w:val="both"/>
        <w:rPr>
          <w:rFonts w:ascii="Times New Roman" w:hAnsi="Times New Roman" w:eastAsia="Times New Roman" w:cs="Times New Roman"/>
          <w:b/>
          <w:bCs/>
        </w:rPr>
      </w:pPr>
    </w:p>
    <w:p w14:paraId="67241957">
      <w:pPr>
        <w:jc w:val="center"/>
        <w:rPr>
          <w:rFonts w:ascii="Times New Roman" w:hAnsi="Times New Roman" w:eastAsia="Times New Roman" w:cs="Times New Roman"/>
        </w:rPr>
      </w:pPr>
      <w:r>
        <w:rPr>
          <w:rFonts w:ascii="Times New Roman" w:hAnsi="Times New Roman" w:eastAsia="Times New Roman" w:cs="Times New Roman"/>
          <w:highlight w:val="yellow"/>
          <w:rtl w:val="0"/>
        </w:rPr>
        <w:t>[Figure 1 – FSCM System Context Diagram: to be inserted]</w:t>
      </w:r>
    </w:p>
    <w:p w14:paraId="772A7DCB">
      <w:pPr>
        <w:spacing w:after="60" w:line="240" w:lineRule="auto"/>
        <w:ind w:left="630"/>
        <w:jc w:val="both"/>
        <w:rPr>
          <w:rFonts w:ascii="Times New Roman" w:hAnsi="Times New Roman" w:eastAsia="Times New Roman" w:cs="Times New Roman"/>
          <w:b/>
          <w:bCs/>
        </w:rPr>
      </w:pPr>
    </w:p>
    <w:p w14:paraId="000000C5">
      <w:pPr>
        <w:pStyle w:val="4"/>
        <w:keepNext/>
        <w:rPr>
          <w:rFonts w:ascii="Times New Roman" w:hAnsi="Times New Roman" w:eastAsia="Times New Roman" w:cs="Times New Roman"/>
        </w:rPr>
      </w:pPr>
      <w:r>
        <w:rPr>
          <w:rFonts w:ascii="Times New Roman" w:hAnsi="Times New Roman" w:eastAsia="Times New Roman" w:cs="Times New Roman"/>
          <w:rtl w:val="0"/>
        </w:rPr>
        <w:t>6.2 Limitations &amp; Exclusions</w:t>
      </w:r>
    </w:p>
    <w:p w14:paraId="1547B53E">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LI-01: Enterprise boundary. </w:t>
      </w:r>
      <w:r>
        <w:rPr>
          <w:rFonts w:ascii="Times New Roman" w:hAnsi="Times New Roman" w:eastAsia="Times New Roman" w:cs="Times New Roman"/>
          <w:rtl w:val="0"/>
        </w:rPr>
        <w:t>The system serves one FMCG distributor and its warehouse network. Warehouses are treated as peer operating locations rather than a fixed hierarchy, and the product is not a multi-tenant marketplace.</w:t>
      </w:r>
    </w:p>
    <w:p w14:paraId="50ACE558">
      <w:pPr>
        <w:spacing w:after="60" w:line="240" w:lineRule="auto"/>
        <w:ind w:left="630"/>
        <w:jc w:val="both"/>
        <w:rPr>
          <w:rFonts w:ascii="Times New Roman" w:hAnsi="Times New Roman" w:eastAsia="Times New Roman" w:cs="Times New Roman"/>
          <w:b/>
          <w:bCs/>
        </w:rPr>
      </w:pPr>
    </w:p>
    <w:p w14:paraId="56EA30D4">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LI-02: Retailer boundary. </w:t>
      </w:r>
      <w:r>
        <w:rPr>
          <w:rFonts w:ascii="Times New Roman" w:hAnsi="Times New Roman" w:eastAsia="Times New Roman" w:cs="Times New Roman"/>
          <w:rtl w:val="0"/>
        </w:rPr>
        <w:t>Retailers do not self-register and do not place orders in the MVP. They use the mobile application only to track orders, confirm receipt, and view payment history. Retailer data is created or imported by the Administrator or Operator, or declared by a Sales Representative and approved.</w:t>
      </w:r>
    </w:p>
    <w:p w14:paraId="5FF9429F">
      <w:pPr>
        <w:spacing w:after="60" w:line="240" w:lineRule="auto"/>
        <w:ind w:left="630"/>
        <w:jc w:val="both"/>
        <w:rPr>
          <w:rFonts w:ascii="Times New Roman" w:hAnsi="Times New Roman" w:eastAsia="Times New Roman" w:cs="Times New Roman"/>
          <w:b/>
          <w:bCs/>
        </w:rPr>
      </w:pPr>
    </w:p>
    <w:p w14:paraId="1A203323">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LI-03: Retail-store inventory exclusion. </w:t>
      </w:r>
      <w:r>
        <w:rPr>
          <w:rFonts w:ascii="Times New Roman" w:hAnsi="Times New Roman" w:eastAsia="Times New Roman" w:cs="Times New Roman"/>
          <w:rtl w:val="0"/>
        </w:rPr>
        <w:t>Receipt confirmation records the delivered Batch/Lot and quantity only. The system does not manage inventory, storage locations, point-of-sale stock, or shrinkage at the retail store.</w:t>
      </w:r>
    </w:p>
    <w:p w14:paraId="43925152">
      <w:pPr>
        <w:spacing w:after="60" w:line="240" w:lineRule="auto"/>
        <w:ind w:left="630"/>
        <w:jc w:val="both"/>
        <w:rPr>
          <w:rFonts w:ascii="Times New Roman" w:hAnsi="Times New Roman" w:eastAsia="Times New Roman" w:cs="Times New Roman"/>
          <w:b/>
          <w:bCs/>
        </w:rPr>
      </w:pPr>
    </w:p>
    <w:p w14:paraId="0D865E1C">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LI-04: Transportation boundary. </w:t>
      </w:r>
      <w:r>
        <w:rPr>
          <w:rFonts w:ascii="Times New Roman" w:hAnsi="Times New Roman" w:eastAsia="Times New Roman" w:cs="Times New Roman"/>
          <w:rtl w:val="0"/>
        </w:rPr>
        <w:t>ETA is estimated from configured distance-based transit times and is used only for the MLOR check; it is not a delivery promise. Vehicle and driver assignment, route optimization, live GPS tracking, and cold-chain monitoring are excluded, and the Operator updates delivery status manually.</w:t>
      </w:r>
    </w:p>
    <w:p w14:paraId="78595671">
      <w:pPr>
        <w:spacing w:after="60" w:line="240" w:lineRule="auto"/>
        <w:ind w:left="630"/>
        <w:jc w:val="both"/>
        <w:rPr>
          <w:rFonts w:ascii="Times New Roman" w:hAnsi="Times New Roman" w:eastAsia="Times New Roman" w:cs="Times New Roman"/>
          <w:b/>
          <w:bCs/>
        </w:rPr>
      </w:pPr>
    </w:p>
    <w:p w14:paraId="4E6126FF">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LI-05: No partial fulfillment. </w:t>
      </w:r>
      <w:r>
        <w:rPr>
          <w:rFonts w:ascii="Times New Roman" w:hAnsi="Times New Roman" w:eastAsia="Times New Roman" w:cs="Times New Roman"/>
          <w:rtl w:val="0"/>
        </w:rPr>
        <w:t>If eligible stock cannot cover the full quantity of an order, the order is rejected. The system does not ship part of an order, create backorders, or relax MLOR; the Sales Representative may place a new order instead.</w:t>
      </w:r>
    </w:p>
    <w:p w14:paraId="09D2AFAC">
      <w:pPr>
        <w:spacing w:after="60" w:line="240" w:lineRule="auto"/>
        <w:ind w:left="630"/>
        <w:jc w:val="both"/>
        <w:rPr>
          <w:rFonts w:ascii="Times New Roman" w:hAnsi="Times New Roman" w:eastAsia="Times New Roman" w:cs="Times New Roman"/>
          <w:b/>
          <w:bCs/>
        </w:rPr>
      </w:pPr>
    </w:p>
    <w:p w14:paraId="4BB7525E">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LI-06: Heuristic allocation. </w:t>
      </w:r>
      <w:r>
        <w:rPr>
          <w:rFonts w:ascii="Times New Roman" w:hAnsi="Times New Roman" w:eastAsia="Times New Roman" w:cs="Times New Roman"/>
          <w:rtl w:val="0"/>
        </w:rPr>
        <w:t>FEFO, distance, and available quantity form a lexicographic project heuristic. The system does not claim globally optimal cost or allocation across all orders, and the MVP does not limit the number of warehouses per order or enforce a minimum shipment quantity.</w:t>
      </w:r>
    </w:p>
    <w:p w14:paraId="14CDEFC3">
      <w:pPr>
        <w:spacing w:after="60" w:line="240" w:lineRule="auto"/>
        <w:ind w:left="630"/>
        <w:jc w:val="both"/>
        <w:rPr>
          <w:rFonts w:ascii="Times New Roman" w:hAnsi="Times New Roman" w:eastAsia="Times New Roman" w:cs="Times New Roman"/>
          <w:b/>
          <w:bCs/>
        </w:rPr>
      </w:pPr>
    </w:p>
    <w:p w14:paraId="3E028507">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LI-07: Offline boundary. </w:t>
      </w:r>
      <w:r>
        <w:rPr>
          <w:rFonts w:ascii="Times New Roman" w:hAnsi="Times New Roman" w:eastAsia="Times New Roman" w:cs="Times New Roman"/>
          <w:rtl w:val="0"/>
        </w:rPr>
        <w:t>Offline mode covers the Sales Representative's catalog, cart, and order capture only, and stock shown offline is indicative. Allocation, approval, payment confirmation, warehouse operations, and receipt confirmation require connectivity. An offline order is accepted only after it has been synchronized and processed on the server.</w:t>
      </w:r>
    </w:p>
    <w:p w14:paraId="1CAA45E5">
      <w:pPr>
        <w:spacing w:after="60" w:line="240" w:lineRule="auto"/>
        <w:ind w:left="630"/>
        <w:jc w:val="both"/>
        <w:rPr>
          <w:rFonts w:ascii="Times New Roman" w:hAnsi="Times New Roman" w:eastAsia="Times New Roman" w:cs="Times New Roman"/>
          <w:b/>
          <w:bCs/>
        </w:rPr>
      </w:pPr>
    </w:p>
    <w:p w14:paraId="69EC321E">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LI-08: Payment boundary. </w:t>
      </w:r>
      <w:r>
        <w:rPr>
          <w:rFonts w:ascii="Times New Roman" w:hAnsi="Times New Roman" w:eastAsia="Times New Roman" w:cs="Times New Roman"/>
          <w:rtl w:val="0"/>
        </w:rPr>
        <w:t>The system records the payment method and payment status but does not integrate a payment gateway; prepaid QR transfers are confirmed manually.</w:t>
      </w:r>
    </w:p>
    <w:p w14:paraId="736C8F90">
      <w:pPr>
        <w:spacing w:after="60" w:line="240" w:lineRule="auto"/>
        <w:ind w:left="630"/>
        <w:jc w:val="both"/>
        <w:rPr>
          <w:rFonts w:ascii="Times New Roman" w:hAnsi="Times New Roman" w:eastAsia="Times New Roman" w:cs="Times New Roman"/>
          <w:b/>
          <w:bCs/>
        </w:rPr>
      </w:pPr>
    </w:p>
    <w:p w14:paraId="048A7EF5">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LI-09: Deferred advanced functions. </w:t>
      </w:r>
      <w:r>
        <w:rPr>
          <w:rFonts w:ascii="Times New Roman" w:hAnsi="Times New Roman" w:eastAsia="Times New Roman" w:cs="Times New Roman"/>
          <w:rtl w:val="0"/>
        </w:rPr>
        <w:t>Demand forecasting, safety stock, an advanced promotion engine, write-off and damage-report workflows, OCR and LLM label processing, computer-vision shelf analysis, batch recall tracing, and transportation or cold-chain functions are outside the MVP.</w:t>
      </w:r>
    </w:p>
    <w:p w14:paraId="46780137">
      <w:pPr>
        <w:spacing w:after="60" w:line="240" w:lineRule="auto"/>
        <w:ind w:left="630"/>
        <w:jc w:val="both"/>
        <w:rPr>
          <w:rFonts w:ascii="Times New Roman" w:hAnsi="Times New Roman" w:eastAsia="Times New Roman" w:cs="Times New Roman"/>
          <w:b/>
          <w:bCs/>
        </w:rPr>
      </w:pPr>
    </w:p>
    <w:p w14:paraId="50E0249B">
      <w:pPr>
        <w:spacing w:after="60" w:line="240" w:lineRule="auto"/>
        <w:ind w:left="630"/>
        <w:jc w:val="both"/>
        <w:rPr>
          <w:rFonts w:ascii="Times New Roman" w:hAnsi="Times New Roman" w:eastAsia="Times New Roman" w:cs="Times New Roman"/>
        </w:rPr>
      </w:pPr>
      <w:r>
        <w:rPr>
          <w:rFonts w:ascii="Times New Roman" w:hAnsi="Times New Roman" w:eastAsia="Times New Roman" w:cs="Times New Roman"/>
          <w:b/>
          <w:bCs/>
          <w:rtl w:val="0"/>
        </w:rPr>
        <w:t xml:space="preserve">LI-10: Technology boundary. </w:t>
      </w:r>
      <w:r>
        <w:rPr>
          <w:rFonts w:ascii="Times New Roman" w:hAnsi="Times New Roman" w:eastAsia="Times New Roman" w:cs="Times New Roman"/>
          <w:rtl w:val="0"/>
        </w:rPr>
        <w:t>The initial solution uses a modular application and REST APIs. Microservices, a dedicated API-management layer, and advanced event-streaming infrastructure are not required for the MVP.</w:t>
      </w:r>
    </w:p>
    <w:p w14:paraId="16333C1E">
      <w:pPr>
        <w:spacing w:after="60" w:line="240" w:lineRule="auto"/>
        <w:ind w:left="630"/>
        <w:jc w:val="both"/>
        <w:rPr>
          <w:rFonts w:ascii="Times New Roman" w:hAnsi="Times New Roman" w:eastAsia="Times New Roman" w:cs="Times New Roman"/>
          <w:b/>
          <w:bCs/>
        </w:rPr>
      </w:pPr>
    </w:p>
    <w:sectPr>
      <w:pgSz w:w="11906" w:h="16838"/>
      <w:pgMar w:top="1440" w:right="1416"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752B7C4-BDE5-42D4-B868-FEDEAF6A381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3DEF6A0-78CA-4C5F-BECC-EA2E3CFA483B}"/>
  </w:font>
  <w:font w:name="Wingdings">
    <w:panose1 w:val="05000000000000000000"/>
    <w:charset w:val="02"/>
    <w:family w:val="auto"/>
    <w:pitch w:val="default"/>
    <w:sig w:usb0="00000000" w:usb1="00000000" w:usb2="00000000" w:usb3="00000000" w:csb0="80000000" w:csb1="00000000"/>
    <w:embedRegular r:id="rId3" w:fontKey="{ECE373DA-2ED8-432C-B70D-6B7F6700F0BD}"/>
  </w:font>
  <w:font w:name="Calibri">
    <w:panose1 w:val="020F0502020204030204"/>
    <w:charset w:val="86"/>
    <w:family w:val="swiss"/>
    <w:pitch w:val="default"/>
    <w:sig w:usb0="E4002EFF" w:usb1="C200247B" w:usb2="00000009" w:usb3="00000000" w:csb0="200001FF" w:csb1="00000000"/>
    <w:embedRegular r:id="rId4" w:fontKey="{4E9D8E94-42B5-4566-85A5-968F2F867DB6}"/>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embedRegular r:id="rId5" w:fontKey="{262B2FD4-E918-458A-A594-022617D71BF5}"/>
  </w:font>
  <w:font w:name="Segoe">
    <w:altName w:val="Arial"/>
    <w:panose1 w:val="00000000000000000000"/>
    <w:charset w:val="00"/>
    <w:family w:val="auto"/>
    <w:pitch w:val="default"/>
    <w:sig w:usb0="00000000" w:usb1="00000000" w:usb2="00000000" w:usb3="00000000" w:csb0="00000000" w:csb1="00000000"/>
    <w:embedRegular r:id="rId6" w:fontKey="{C9A358AC-C0A6-422D-AA4D-07C9A4366586}"/>
  </w:font>
  <w:font w:name="Tahoma">
    <w:panose1 w:val="020B0604030504040204"/>
    <w:charset w:val="00"/>
    <w:family w:val="auto"/>
    <w:pitch w:val="default"/>
    <w:sig w:usb0="E1002EFF" w:usb1="C000605B" w:usb2="00000029" w:usb3="00000000" w:csb0="200101FF" w:csb1="20280000"/>
    <w:embedRegular r:id="rId7" w:fontKey="{5BD0B7B9-E937-4B85-A8C7-84C0510C3117}"/>
  </w:font>
  <w:font w:name="Georgia">
    <w:panose1 w:val="02040502050405020303"/>
    <w:charset w:val="00"/>
    <w:family w:val="auto"/>
    <w:pitch w:val="default"/>
    <w:sig w:usb0="00000287" w:usb1="00000000" w:usb2="00000000" w:usb3="00000000" w:csb0="2000009F" w:csb1="00000000"/>
    <w:embedRegular r:id="rId8" w:fontKey="{EC6E9B0B-78FC-44F8-AC0B-EC4D3FAE15A2}"/>
  </w:font>
  <w:font w:name="Noto Sans Symbols">
    <w:altName w:val="JetBrains Mono"/>
    <w:panose1 w:val="00000000000000000000"/>
    <w:charset w:val="00"/>
    <w:family w:val="auto"/>
    <w:pitch w:val="default"/>
    <w:sig w:usb0="00000000" w:usb1="00000000" w:usb2="00000000" w:usb3="00000000" w:csb0="00000000" w:csb1="00000000"/>
    <w:embedRegular r:id="rId9" w:fontKey="{46A185AF-39BE-4F90-A83B-AD031314E080}"/>
  </w:font>
  <w:font w:name="JetBrains Mono">
    <w:panose1 w:val="02000009000000000000"/>
    <w:charset w:val="00"/>
    <w:family w:val="auto"/>
    <w:pitch w:val="default"/>
    <w:sig w:usb0="A00402FF" w:usb1="1200F9FB" w:usb2="0200003C" w:usb3="00000000" w:csb0="2000019F" w:csb1="DFD70000"/>
    <w:embedRegular r:id="rId10" w:fontKey="{899573FF-A4F5-4B59-8494-E609B5CFC99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1080" w:hanging="360"/>
      </w:p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4E96B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zh-CN"/>
    </w:rPr>
  </w:style>
  <w:style w:type="paragraph" w:styleId="2">
    <w:name w:val="heading 1"/>
    <w:basedOn w:val="1"/>
    <w:next w:val="1"/>
    <w:uiPriority w:val="0"/>
    <w:pPr>
      <w:keepNext/>
      <w:keepLines/>
      <w:spacing w:before="240" w:after="0"/>
    </w:pPr>
    <w:rPr>
      <w:rFonts w:ascii="Calibri" w:hAnsi="Calibri" w:eastAsia="Calibri" w:cs="Calibri"/>
      <w:b/>
      <w:bCs/>
      <w:color w:val="000000"/>
      <w:sz w:val="32"/>
      <w:szCs w:val="32"/>
    </w:rPr>
  </w:style>
  <w:style w:type="paragraph" w:styleId="3">
    <w:name w:val="heading 2"/>
    <w:basedOn w:val="1"/>
    <w:next w:val="1"/>
    <w:qFormat/>
    <w:uiPriority w:val="0"/>
    <w:pPr>
      <w:keepNext/>
      <w:keepLines/>
      <w:spacing w:before="40" w:after="0"/>
    </w:pPr>
    <w:rPr>
      <w:rFonts w:ascii="Calibri" w:hAnsi="Calibri" w:eastAsia="Calibri" w:cs="Calibri"/>
      <w:b/>
      <w:bCs/>
      <w:color w:val="000000"/>
      <w:sz w:val="26"/>
      <w:szCs w:val="26"/>
    </w:rPr>
  </w:style>
  <w:style w:type="paragraph" w:styleId="4">
    <w:name w:val="heading 3"/>
    <w:basedOn w:val="1"/>
    <w:next w:val="1"/>
    <w:qFormat/>
    <w:uiPriority w:val="0"/>
    <w:pPr>
      <w:keepNext/>
      <w:keepLines/>
      <w:spacing w:before="40" w:after="0"/>
    </w:pPr>
    <w:rPr>
      <w:rFonts w:ascii="Calibri" w:hAnsi="Calibri" w:eastAsia="Calibri" w:cs="Calibri"/>
      <w:b/>
      <w:bCs/>
      <w:color w:val="000000"/>
      <w:sz w:val="24"/>
      <w:szCs w:val="24"/>
    </w:rPr>
  </w:style>
  <w:style w:type="paragraph" w:styleId="5">
    <w:name w:val="heading 4"/>
    <w:basedOn w:val="1"/>
    <w:next w:val="1"/>
    <w:qFormat/>
    <w:uiPriority w:val="0"/>
    <w:pPr>
      <w:keepNext/>
      <w:keepLines/>
      <w:spacing w:before="40" w:after="0"/>
    </w:pPr>
    <w:rPr>
      <w:rFonts w:ascii="Calibri" w:hAnsi="Calibri" w:eastAsia="Calibri" w:cs="Calibri"/>
      <w:b/>
      <w:bCs/>
      <w:i/>
      <w:iCs/>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List"/>
    <w:semiHidden/>
    <w:qFormat/>
    <w:uiPriority w:val="0"/>
    <w:pPr>
      <w:spacing w:after="120" w:line="240" w:lineRule="exact"/>
      <w:ind w:left="630" w:hanging="630"/>
    </w:pPr>
    <w:rPr>
      <w:rFonts w:ascii="Times New Roman" w:hAnsi="Times New Roman" w:eastAsia="Times New Roman" w:cs="Times New Roman"/>
      <w:sz w:val="24"/>
      <w:szCs w:val="20"/>
      <w:lang w:val="en-US"/>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keepNext/>
      <w:keepLines/>
      <w:pageBreakBefore w:val="0"/>
      <w:spacing w:before="480" w:after="120"/>
    </w:pPr>
    <w:rPr>
      <w:b/>
      <w:bCs/>
      <w:sz w:val="72"/>
      <w:szCs w:val="72"/>
    </w:rPr>
  </w:style>
  <w:style w:type="paragraph" w:styleId="15">
    <w:name w:val="toc 1"/>
    <w:next w:val="1"/>
    <w:autoRedefine/>
    <w:unhideWhenUsed/>
    <w:qFormat/>
    <w:uiPriority w:val="39"/>
    <w:pPr>
      <w:spacing w:after="100" w:line="259" w:lineRule="auto"/>
    </w:pPr>
    <w:rPr>
      <w:rFonts w:ascii="Calibri" w:hAnsi="Calibri" w:eastAsia="Calibri" w:cs="Calibri"/>
      <w:sz w:val="22"/>
      <w:szCs w:val="22"/>
      <w:lang w:val="zh-CN"/>
    </w:rPr>
  </w:style>
  <w:style w:type="paragraph" w:styleId="16">
    <w:name w:val="toc 2"/>
    <w:next w:val="1"/>
    <w:autoRedefine/>
    <w:unhideWhenUsed/>
    <w:qFormat/>
    <w:uiPriority w:val="39"/>
    <w:pPr>
      <w:spacing w:after="100" w:line="259" w:lineRule="auto"/>
      <w:ind w:left="220"/>
    </w:pPr>
    <w:rPr>
      <w:rFonts w:ascii="Calibri" w:hAnsi="Calibri" w:eastAsia="Calibri" w:cs="Calibri"/>
      <w:sz w:val="22"/>
      <w:szCs w:val="22"/>
      <w:lang w:val="zh-CN"/>
    </w:rPr>
  </w:style>
  <w:style w:type="paragraph" w:styleId="17">
    <w:name w:val="toc 3"/>
    <w:next w:val="1"/>
    <w:autoRedefine/>
    <w:unhideWhenUsed/>
    <w:qFormat/>
    <w:uiPriority w:val="39"/>
    <w:pPr>
      <w:spacing w:after="100" w:line="259" w:lineRule="auto"/>
      <w:ind w:left="440"/>
    </w:pPr>
    <w:rPr>
      <w:rFonts w:ascii="Calibri" w:hAnsi="Calibri" w:eastAsia="Calibri" w:cs="Calibri"/>
      <w:sz w:val="22"/>
      <w:szCs w:val="22"/>
      <w:lang w:val="zh-CN"/>
    </w:rPr>
  </w:style>
  <w:style w:type="table" w:customStyle="1" w:styleId="18">
    <w:name w:val="TableNormal"/>
    <w:qFormat/>
    <w:uiPriority w:val="0"/>
    <w:tblPr>
      <w:tblCellMar>
        <w:top w:w="100" w:type="dxa"/>
        <w:left w:w="100" w:type="dxa"/>
        <w:bottom w:w="100" w:type="dxa"/>
        <w:right w:w="100" w:type="dxa"/>
      </w:tblCellMar>
    </w:tblPr>
  </w:style>
  <w:style w:type="paragraph" w:styleId="19">
    <w:name w:val="List Paragraph"/>
    <w:qFormat/>
    <w:uiPriority w:val="34"/>
    <w:pPr>
      <w:spacing w:after="160" w:line="259" w:lineRule="auto"/>
      <w:ind w:left="720"/>
      <w:contextualSpacing/>
    </w:pPr>
    <w:rPr>
      <w:rFonts w:ascii="Calibri" w:hAnsi="Calibri" w:eastAsia="Calibri" w:cs="Calibri"/>
      <w:sz w:val="22"/>
      <w:szCs w:val="22"/>
      <w:lang w:val="zh-CN"/>
    </w:rPr>
  </w:style>
  <w:style w:type="character" w:customStyle="1" w:styleId="20">
    <w:name w:val="Heading 1 Char"/>
    <w:basedOn w:val="8"/>
    <w:qFormat/>
    <w:uiPriority w:val="9"/>
    <w:rPr>
      <w:rFonts w:asciiTheme="majorHAnsi" w:hAnsiTheme="majorHAnsi" w:eastAsiaTheme="majorEastAsia" w:cstheme="majorBidi"/>
      <w:b/>
      <w:color w:val="C00000"/>
      <w:sz w:val="32"/>
      <w:szCs w:val="32"/>
    </w:rPr>
  </w:style>
  <w:style w:type="character" w:customStyle="1" w:styleId="21">
    <w:name w:val="Heading 2 Char"/>
    <w:basedOn w:val="8"/>
    <w:qFormat/>
    <w:uiPriority w:val="9"/>
    <w:rPr>
      <w:rFonts w:asciiTheme="majorHAnsi" w:hAnsiTheme="majorHAnsi" w:eastAsiaTheme="majorEastAsia" w:cstheme="majorBidi"/>
      <w:b/>
      <w:sz w:val="26"/>
      <w:szCs w:val="26"/>
    </w:rPr>
  </w:style>
  <w:style w:type="character" w:customStyle="1" w:styleId="22">
    <w:name w:val="Heading 3 Char"/>
    <w:basedOn w:val="8"/>
    <w:qFormat/>
    <w:uiPriority w:val="9"/>
    <w:rPr>
      <w:rFonts w:asciiTheme="majorHAnsi" w:hAnsiTheme="majorHAnsi" w:eastAsiaTheme="majorEastAsia" w:cstheme="majorBidi"/>
      <w:b/>
      <w:sz w:val="24"/>
      <w:szCs w:val="24"/>
    </w:rPr>
  </w:style>
  <w:style w:type="table" w:customStyle="1" w:styleId="23">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character" w:customStyle="1" w:styleId="24">
    <w:name w:val="Heading 4 Char"/>
    <w:basedOn w:val="8"/>
    <w:qFormat/>
    <w:uiPriority w:val="9"/>
    <w:rPr>
      <w:rFonts w:asciiTheme="majorHAnsi" w:hAnsiTheme="majorHAnsi" w:eastAsiaTheme="majorEastAsia" w:cstheme="majorBidi"/>
      <w:b/>
      <w:i/>
      <w:iCs/>
    </w:rPr>
  </w:style>
  <w:style w:type="paragraph" w:customStyle="1" w:styleId="25">
    <w:name w:val="Fig-Graphic"/>
    <w:qFormat/>
    <w:uiPriority w:val="0"/>
    <w:pPr>
      <w:widowControl w:val="0"/>
      <w:suppressAutoHyphens/>
      <w:autoSpaceDE w:val="0"/>
      <w:autoSpaceDN w:val="0"/>
      <w:adjustRightInd w:val="0"/>
      <w:spacing w:before="180" w:after="80" w:line="240" w:lineRule="atLeast"/>
      <w:ind w:left="480"/>
      <w:textAlignment w:val="baseline"/>
    </w:pPr>
    <w:rPr>
      <w:rFonts w:ascii="Segoe" w:hAnsi="Segoe" w:cs="Segoe" w:eastAsiaTheme="minorEastAsia"/>
      <w:iCs/>
      <w:color w:val="000000"/>
      <w:sz w:val="18"/>
      <w:szCs w:val="19"/>
      <w:lang w:val="en-US"/>
    </w:rPr>
  </w:style>
  <w:style w:type="character" w:customStyle="1" w:styleId="26">
    <w:name w:val="Fig Num"/>
    <w:qFormat/>
    <w:uiPriority w:val="8"/>
    <w:rPr>
      <w:b/>
      <w:bCs/>
      <w:caps/>
      <w:sz w:val="15"/>
      <w:szCs w:val="15"/>
    </w:rPr>
  </w:style>
  <w:style w:type="paragraph" w:customStyle="1" w:styleId="27">
    <w:name w:val="Table Text small"/>
    <w:qFormat/>
    <w:uiPriority w:val="0"/>
    <w:pPr>
      <w:keepNext/>
      <w:keepLines/>
      <w:spacing w:before="20" w:after="20" w:line="240" w:lineRule="exact"/>
      <w:ind w:left="95"/>
    </w:pPr>
    <w:rPr>
      <w:rFonts w:ascii="Arial" w:hAnsi="Arial" w:eastAsia="Times New Roman" w:cs="Times New Roman"/>
      <w:sz w:val="18"/>
      <w:szCs w:val="18"/>
      <w:lang w:val="en-US"/>
    </w:rPr>
  </w:style>
  <w:style w:type="paragraph" w:customStyle="1" w:styleId="28">
    <w:name w:val="Table Head"/>
    <w:qFormat/>
    <w:uiPriority w:val="0"/>
    <w:pPr>
      <w:spacing w:before="60" w:after="60" w:line="240" w:lineRule="exact"/>
      <w:jc w:val="center"/>
      <w:outlineLvl w:val="9"/>
    </w:pPr>
    <w:rPr>
      <w:rFonts w:ascii="Arial" w:hAnsi="Arial" w:eastAsia="Times New Roman" w:cs="Times New Roman"/>
      <w:sz w:val="22"/>
      <w:szCs w:val="22"/>
      <w:lang w:val="en-US"/>
    </w:rPr>
  </w:style>
  <w:style w:type="paragraph" w:customStyle="1" w:styleId="29">
    <w:name w:val="TOC Heading"/>
    <w:unhideWhenUsed/>
    <w:qFormat/>
    <w:uiPriority w:val="39"/>
    <w:pPr>
      <w:spacing w:after="160" w:line="259" w:lineRule="auto"/>
      <w:outlineLvl w:val="9"/>
    </w:pPr>
    <w:rPr>
      <w:rFonts w:ascii="Calibri" w:hAnsi="Calibri" w:eastAsia="Calibri" w:cs="Calibri"/>
      <w:color w:val="2E75B6" w:themeColor="accent1" w:themeShade="BF"/>
      <w:sz w:val="22"/>
      <w:szCs w:val="22"/>
      <w:lang w:val="en-US"/>
    </w:rPr>
  </w:style>
  <w:style w:type="paragraph" w:customStyle="1" w:styleId="30">
    <w:name w:val="Bang"/>
    <w:autoRedefine/>
    <w:qFormat/>
    <w:uiPriority w:val="0"/>
    <w:pPr>
      <w:spacing w:before="80" w:after="80" w:line="240" w:lineRule="auto"/>
    </w:pPr>
    <w:rPr>
      <w:rFonts w:ascii="Tahoma" w:hAnsi="Tahoma" w:eastAsia="Times New Roman" w:cs="Tahoma"/>
      <w:sz w:val="18"/>
      <w:szCs w:val="18"/>
      <w:lang w:val="en-US"/>
    </w:rPr>
  </w:style>
  <w:style w:type="paragraph" w:customStyle="1" w:styleId="31">
    <w:name w:val="Heading Lv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 w:type="table" w:customStyle="1" w:styleId="32">
    <w:name w:val="_Style 31"/>
    <w:basedOn w:val="18"/>
    <w:qFormat/>
    <w:uiPriority w:val="0"/>
    <w:tblPr>
      <w:tblCellMar>
        <w:top w:w="0" w:type="dxa"/>
        <w:left w:w="80" w:type="dxa"/>
        <w:bottom w:w="0" w:type="dxa"/>
        <w:right w:w="80" w:type="dxa"/>
      </w:tblCellMar>
    </w:tblPr>
  </w:style>
  <w:style w:type="table" w:customStyle="1" w:styleId="33">
    <w:name w:val="_Style 32"/>
    <w:basedOn w:val="18"/>
    <w:qFormat/>
    <w:uiPriority w:val="0"/>
    <w:pPr>
      <w:spacing w:after="0" w:line="240" w:lineRule="auto"/>
    </w:pPr>
    <w:rPr>
      <w:rFonts w:ascii="Times New Roman" w:hAnsi="Times New Roman" w:eastAsia="Times New Roman" w:cs="Times New Roman"/>
      <w:sz w:val="24"/>
      <w:szCs w:val="24"/>
    </w:rPr>
    <w:tblPr>
      <w:tblCellMar>
        <w:top w:w="0" w:type="dxa"/>
        <w:left w:w="108" w:type="dxa"/>
        <w:bottom w:w="0" w:type="dxa"/>
        <w:right w:w="108" w:type="dxa"/>
      </w:tblCellMar>
    </w:tblPr>
    <w:tcPr>
      <w:vAlign w:val="center"/>
    </w:tcPr>
    <w:tblStylePr w:type="firstRow">
      <w:rPr>
        <w:rFonts w:ascii="Times New Roman" w:hAnsi="Times New Roman" w:eastAsia="Times New Roman" w:cs="Times New Roman"/>
        <w:b w:val="0"/>
        <w:bCs w:val="0"/>
        <w:i w:val="0"/>
        <w:iCs w:val="0"/>
        <w:sz w:val="24"/>
        <w:szCs w:val="24"/>
        <w:u w:val="none"/>
      </w:rPr>
      <w:tcPr>
        <w:shd w:val="clear" w:color="auto" w:fill="BDD6EE"/>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Jxf9ejB4OMyAHD5z71RHAR8Dw==">CgMxLjAyDmgub2djMjB3aGE1dHcxMg5oLmVkYjNhcXo4NTRjNjIOaC5qdGV2dTV1MnpyaGwyDmguYXNnd3dmejZvY2dhMg5oLjdjdm52cGc4eTRzaDIOaC5sc3NoOWJyb2dtcXM4AHIhMVMxVV9DcmxuVVlPS0xkb1Ria2g1UEQ3U3lKOTFkNkJ5</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Words>2289</Words>
  <Characters>14138</Characters>
  <TotalTime>0</TotalTime>
  <ScaleCrop>false</ScaleCrop>
  <LinksUpToDate>false</LinksUpToDate>
  <CharactersWithSpaces>16317</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Huy Hoàng</cp:lastModifiedBy>
  <dcterms:modified xsi:type="dcterms:W3CDTF">2026-09-26T15:33:34Z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