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FSCM – Conceptual ERD Entity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240" w:line="259" w:lineRule="auto"/>
        <w:rPr>
          <w:color w:val="c00000"/>
          <w:sz w:val="32"/>
          <w:szCs w:val="32"/>
        </w:rPr>
      </w:pPr>
      <w:bookmarkStart w:colFirst="0" w:colLast="0" w:name="_heading=h.z3vsanw2j73d" w:id="0"/>
      <w:bookmarkEnd w:id="0"/>
      <w:r w:rsidDel="00000000" w:rsidR="00000000" w:rsidRPr="00000000">
        <w:rPr>
          <w:color w:val="c00000"/>
          <w:sz w:val="32"/>
          <w:szCs w:val="32"/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1"/>
        <w:gridCol w:w="1134"/>
        <w:gridCol w:w="1985"/>
        <w:gridCol w:w="4494"/>
        <w:tblGridChange w:id="0">
          <w:tblGrid>
            <w:gridCol w:w="1191"/>
            <w:gridCol w:w="1134"/>
            <w:gridCol w:w="1985"/>
            <w:gridCol w:w="4494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03">
            <w:pPr>
              <w:widowControl w:val="0"/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04">
            <w:pPr>
              <w:widowControl w:val="0"/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A, M, D *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05">
            <w:pPr>
              <w:widowControl w:val="0"/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06">
            <w:pPr>
              <w:widowControl w:val="0"/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80" w:before="8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30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/09/2026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80" w:before="8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80" w:before="8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Tran Ngoc Khiet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80" w:before="8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Version 1.0</w:t>
            </w:r>
          </w:p>
        </w:tc>
      </w:tr>
    </w:tbl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32"/>
          <w:szCs w:val="32"/>
          <w:rtl w:val="0"/>
        </w:rPr>
        <w:t xml:space="preserve">II. Entity Description</w:t>
      </w:r>
      <w:r w:rsidDel="00000000" w:rsidR="00000000" w:rsidRPr="00000000">
        <w:rPr>
          <w:rtl w:val="0"/>
        </w:rPr>
      </w:r>
    </w:p>
    <w:tbl>
      <w:tblPr>
        <w:tblStyle w:val="Table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UserAccount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 system user account for the six human roles. It is needed to identify who performs business actions and to enforce role-based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 distributor warehouse. It is required because stock, receipts, picking, allocation and warehouse access are managed per warehouse.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UserWarehouseAssignment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Links authorized users to the warehouses they may operate. It supports warehouse-scoped access for Warehouse Keepers and other permitted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 sales territory used to organize retailer coverage and control the scope in which Sales teams operate.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SalesGroup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 regional sales team. It is needed to group Sales Representatives, share permitted retailer/order visibility and measure group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SalesGroupMember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Links Sales Representatives to sales groups and preserves assignment information needed for access control and performance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Retailer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 retail store/customer served by the distributor. It stores the business identity and activation/approval state required before Sales can place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RetailerSalesAssignment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Associates retailers with the permitted region or sales group so the system can determine which Sales Representatives may create or view their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ProductCategory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Classifies products for catalog management and provides a reusable grouping dimension for reporting and promotion eligibility.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an SKU sold by the distributor, including the product identity and shelf-life rules used by pricing, inventory, promotions and FEFO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ProductPrice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Stores effective product prices over time so online and synchronized offline orders can be recalculated using the authoritative server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RetailerProductMLOR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Stores the minimum remaining shelf-life requirement for a specific retailer and SKU. It is required to filter batches before FEFO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TransitTimeRule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Stores configurable distance-based handling/transit estimates used to calculate estimated arrival for MLOR eligibility. The estimate supports allocation and is not a guaranteed delivery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GoodsReceipt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 warehouse receiving transaction and provides receipt history and traceability before received stock becomes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GoodsReceiptLine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Stores the SKU, batch, expiry and received quantity details belonging to a goods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 physical lot or quantity segment of an SKU at a warehouse. It keeps expiration, quantity and status information and supports batch lineage when part of a batch is split for stock-out while the remaining quantity stays in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BatchQrLabel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Maps a QR label to a specific Batch ID and quantity. It supports warehouse scanning, QR regeneration after a batch split, and retailer receipt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InventoryBalance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Maintains the current quantity state of each warehouse batch, separating physical, held, reserved and available quantities to prevent double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Defines a promotion, its validity and discount rules so the server can determine the official promotion applied to an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PromotionProduct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Links a promotion to eligible individual SKUs when the promotion targets specific products.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PromotionCategory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Links a promotion to an eligible product group/category when the promotion applies to a group rather than a single SKU.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PromotionRetailer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Links promotions to eligible retailers so promotions can be restricted to the intended customer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SalesOrder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an order created by a Sales Representative for a retailer. It is the central business document connecting pricing, promotions, allocation, approval, picking, delivery and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SalesOrderLine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Stores each ordered SKU, quantity, authoritative price and calculated amount used for fulfillment and financial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OrderPromotion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Records the official promotion actually applied to an order line, preserving the discount result after server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Records the batch and warehouse quantities selected by FEFO-MLOR for each order line. It allows one line to be fulfilled from multiple batches or warehouses.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StockHold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temporary quantities held after a complete allocation while the order waits for approval. It prevents competing orders from using the same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approved stock commitments created from holds. It keeps approved quantities unavailable to other orders until the related picking list is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PickingList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the warehouse-specific picking document generated after order approval. Confirming the completed picking list is the business event that finalizes stock-out, updates stock quantities and advances the order without requiring a separate Goods Issue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PickingItem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Specifies the exact SKU, source Batch ID and quantity to pick. It records the actual picked quantity and links the picking operation to any new stock-out batch created when only part of the source batch is taken.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ReceiptConfirmation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the Retailer's confirmation that an issued order was received. It supports QR-based reconciliation without creating retail-store inventory.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ReceiptConfirmationItem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Records the stock-out Batch ID, QR label and received quantity scanned by the Retailer so received goods can be reconciled directly with the completed picking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ReceiptDiscrepancy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Represents a Retailer report of missing or damaged goods after receipt, with its own handling status so the issue can be reviewed without changing Delivered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ReceiptDiscrepancyItem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Identifies the affected batch, actual received quantity, issue type, evidence and notes within a receipt discrepancy.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Stores payment method and payment status separately from order lifecycle status, supporting prepaid transfer, prepaid cash and payment-on-delivery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OrderStatusHistory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Preserves the order lifecycle timeline and reasons for transitions such as rejection or cancellation for tracking and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Stores user-facing notifications for approvals, rejections, synchronization changes, delivery updates and other relevant order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Records critical administrative and operational actions for accountability, troubleshooting and traceability.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jCszsjW65kGzBWxuyt3vLHOHw==">CgMxLjAyDmguejN2c2FudzJqNzNkOAByITEtQjFoVmtIdUZzLVNraFdVbUFuWkRidUVTak0xdnROQw==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