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40"/>
          <w:szCs w:val="40"/>
        </w:rPr>
        <w:t xml:space="preserve">TÀI LIỆU THAM KHẢO THUẬT TOÁN</w:t>
      </w:r>
    </w:p>
    <w:p>
      <w:pPr>
        <w:spacing w:after="200"/>
        <w:jc w:val="center"/>
      </w:pPr>
      <w:r>
        <w:rPr>
          <w:b/>
          <w:bCs/>
          <w:sz w:val="28"/>
          <w:szCs w:val="28"/>
        </w:rPr>
        <w:t xml:space="preserve">Phân bổ hàng hóa FMCG hạn dùng ngắn theo FEFO trong mạng lưới đa kho</w:t>
      </w:r>
    </w:p>
    <w:p>
      <w:pPr>
        <w:spacing w:after="40"/>
        <w:jc w:val="center"/>
      </w:pPr>
      <w:r>
        <w:rPr>
          <w:i/>
          <w:iCs/>
          <w:sz w:val="22"/>
          <w:szCs w:val="22"/>
        </w:rPr>
        <w:t xml:space="preserve">Đề tài: FA26SE083 — FSCM: Short Shelf-Life FMCG Supply Chain Management with FEFO</w:t>
      </w:r>
    </w:p>
    <w:p>
      <w:pPr>
        <w:spacing w:after="400"/>
        <w:jc w:val="center"/>
      </w:pPr>
      <w:r>
        <w:rPr>
          <w:color w:val="555555"/>
          <w:sz w:val="20"/>
          <w:szCs w:val="20"/>
        </w:rPr>
        <w:t xml:space="preserve">Người hướng dẫn: ThS. Lê Thị Quỳnh Chi (ChiLTQ6)  ·  Học kỳ: Fall 2026</w:t>
      </w:r>
    </w:p>
    <w:p>
      <w:pPr>
        <w:pStyle w:val="Heading1"/>
        <w:spacing w:after="150" w:before="300"/>
      </w:pPr>
      <w:r>
        <w:t xml:space="preserve">1. Bối cảnh &amp; phát biểu bài toán</w:t>
      </w:r>
    </w:p>
    <w:p>
      <w:pPr>
        <w:spacing w:after="120"/>
      </w:pPr>
      <w:r>
        <w:t xml:space="preserve">Hệ thống cần quyết định phân bổ một lô hàng FMCG (hạn sử dụng ngắn) cho một đơn hàng, dựa trên 3 yếu tố ràng buộc lẫn nhau:</w:t>
      </w:r>
    </w:p>
    <w:p>
      <w:pPr>
        <w:pStyle w:val="ListParagraph"/>
        <w:numPr>
          <w:ilvl w:val="0"/>
          <w:numId w:val="2"/>
        </w:numPr>
        <w:spacing w:after="80"/>
      </w:pPr>
      <w:r>
        <w:rPr>
          <w:b/>
          <w:bCs/>
        </w:rPr>
        <w:t xml:space="preserve">Hạn dùng còn lại mong muốn </w:t>
      </w:r>
      <w:r>
        <w:t xml:space="preserve">của đơn hàng (khách yêu cầu ngày hết hạn còn xa tối thiểu bao nhiêu ngày);</w:t>
      </w:r>
    </w:p>
    <w:p>
      <w:pPr>
        <w:pStyle w:val="ListParagraph"/>
        <w:numPr>
          <w:ilvl w:val="0"/>
          <w:numId w:val="2"/>
        </w:numPr>
        <w:spacing w:after="80"/>
      </w:pPr>
      <w:r>
        <w:rPr>
          <w:b/>
          <w:bCs/>
        </w:rPr>
        <w:t xml:space="preserve">Số lượng và vị trí các kho </w:t>
      </w:r>
      <w:r>
        <w:t xml:space="preserve">đang giữ hàng tồn kho khả dụng;</w:t>
      </w:r>
    </w:p>
    <w:p>
      <w:pPr>
        <w:pStyle w:val="ListParagraph"/>
        <w:numPr>
          <w:ilvl w:val="0"/>
          <w:numId w:val="2"/>
        </w:numPr>
        <w:spacing w:after="80"/>
      </w:pPr>
      <w:r>
        <w:rPr>
          <w:b/>
          <w:bCs/>
        </w:rPr>
        <w:t xml:space="preserve">Khoảng cách / chi phí vận chuyển </w:t>
      </w:r>
      <w:r>
        <w:t xml:space="preserve">từ mỗi kho đến điểm giao hàng;</w:t>
      </w:r>
    </w:p>
    <w:p>
      <w:pPr>
        <w:pStyle w:val="ListParagraph"/>
        <w:numPr>
          <w:ilvl w:val="0"/>
          <w:numId w:val="2"/>
        </w:numPr>
        <w:spacing w:after="80"/>
      </w:pPr>
      <w:r>
        <w:rPr>
          <w:b/>
          <w:bCs/>
        </w:rPr>
        <w:t xml:space="preserve">Nguyên tắc FEFO </w:t>
      </w:r>
      <w:r>
        <w:t xml:space="preserve">(First-Expired-First-Out) — phải ưu tiên xuất lô hàng cận hạn trước để giảm lãng phí (waste) tồn kho.</w:t>
      </w:r>
    </w:p>
    <w:p>
      <w:pPr>
        <w:spacing w:after="120"/>
      </w:pPr>
      <w:r>
        <w:t xml:space="preserve">Ba yếu tố này thường xung đột nhau: hàng cận hạn nhất (nên xuất theo FEFO) có thể lại nằm ở kho xa nhất, trong khi kho gần nhất lại chỉ còn hàng rất tươi (lãng phí nếu dùng để đáp ứng đơn không yêu cầu hạn dùng dài). Đây chính là lý do cần một thuật toán phân bổ đa mục tiêu thay vì áp dụng FEFO thuần túy.</w:t>
      </w:r>
    </w:p>
    <w:p>
      <w:pPr>
        <w:pStyle w:val="Heading1"/>
        <w:spacing w:after="150" w:before="300"/>
      </w:pPr>
      <w:r>
        <w:t xml:space="preserve">2. Ba tầng giải pháp trong tài liệu học thuật</w:t>
      </w:r>
    </w:p>
    <w:p>
      <w:pPr>
        <w:spacing w:after="120"/>
      </w:pPr>
      <w:r>
        <w:t xml:space="preserve">Các paper được nhóm theo mức độ phức tạp tăng dần, để nhóm SV chọn đúng độ khó phù hợp với phạm vi đồ án.</w:t>
      </w:r>
    </w:p>
    <w:p>
      <w:pPr>
        <w:pStyle w:val="Heading2"/>
        <w:spacing w:after="120" w:before="250"/>
      </w:pPr>
      <w:r>
        <w:t xml:space="preserve">Tầng 1 — FEFO Allocation với ràng buộc "remaining shelf life threshold"</w:t>
      </w:r>
    </w:p>
    <w:p>
      <w:pPr>
        <w:spacing w:after="120"/>
      </w:pPr>
      <w:r>
        <w:t xml:space="preserve">Đúng lõi bài toán: đơn hàng đòi hỏi hạn dùng còn lại tối thiểu, hệ thống quyết định lấy lô nào từ kho nào.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9"/>
      </w:tblGrid>
      <w:tr>
        <w:trPr>
          <w:tblHeader/>
        </w:trPr>
        <w:tc>
          <w:tcPr>
            <w:tcW w:type="dxa" w:w="2600"/>
            <w:shd w:fill="2E5395" w:val="clear"/>
            <w:tcMar>
              <w:top w:type="dxa" w:w="80"/>
              <w:left w:type="dxa" w:w="100"/>
              <w:bottom w:type="dxa" w:w="80"/>
              <w:right w:type="dxa" w:w="100"/>
            </w:tcMar>
            <w:vAlign w:val="center"/>
          </w:tcPr>
          <w:p>
            <w:r>
              <w:rPr>
                <w:b/>
                <w:bCs/>
                <w:color w:val="FFFFFF"/>
                <w:sz w:val="20"/>
                <w:szCs w:val="20"/>
              </w:rPr>
              <w:t xml:space="preserve">Paper</w:t>
            </w:r>
          </w:p>
        </w:tc>
        <w:tc>
          <w:tcPr>
            <w:tcW w:type="dxa" w:w="4200"/>
            <w:shd w:fill="2E5395" w:val="clear"/>
            <w:tcMar>
              <w:top w:type="dxa" w:w="80"/>
              <w:left w:type="dxa" w:w="100"/>
              <w:bottom w:type="dxa" w:w="80"/>
              <w:right w:type="dxa" w:w="100"/>
            </w:tcMar>
            <w:vAlign w:val="center"/>
          </w:tcPr>
          <w:p>
            <w:r>
              <w:rPr>
                <w:b/>
                <w:bCs/>
                <w:color w:val="FFFFFF"/>
                <w:sz w:val="20"/>
                <w:szCs w:val="20"/>
              </w:rPr>
              <w:t xml:space="preserve">Đóng góp chính</w:t>
            </w:r>
          </w:p>
        </w:tc>
        <w:tc>
          <w:tcPr>
            <w:tcW w:type="dxa" w:w="2839"/>
            <w:shd w:fill="2E5395" w:val="clear"/>
            <w:tcMar>
              <w:top w:type="dxa" w:w="80"/>
              <w:left w:type="dxa" w:w="100"/>
              <w:bottom w:type="dxa" w:w="80"/>
              <w:right w:type="dxa" w:w="100"/>
            </w:tcMar>
            <w:vAlign w:val="center"/>
          </w:tcPr>
          <w:p>
            <w:r>
              <w:rPr>
                <w:b/>
                <w:bCs/>
                <w:color w:val="FFFFFF"/>
                <w:sz w:val="20"/>
                <w:szCs w:val="20"/>
              </w:rPr>
              <w:t xml:space="preserve">Phương pháp</w:t>
            </w:r>
          </w:p>
        </w:tc>
      </w:tr>
      <w:tr>
        <w:tc>
          <w:tcPr>
            <w:tcW w:type="dxa" w:w="2600"/>
            <w:tcMar>
              <w:top w:type="dxa" w:w="80"/>
              <w:left w:type="dxa" w:w="100"/>
              <w:bottom w:type="dxa" w:w="80"/>
              <w:right w:type="dxa" w:w="100"/>
            </w:tcMar>
            <w:vAlign w:val="center"/>
          </w:tcPr>
          <w:p>
            <w:hyperlink w:history="1" r:id="rIdvdfnnnrswo__uwtznhexw">
              <w:r>
                <w:rPr>
                  <w:rStyle w:val="Hyperlink"/>
                </w:rPr>
                <w:t xml:space="preserve">Managing Perishable Inventory Systems with Multiple Priority Classes</w:t>
              </w:r>
            </w:hyperlink>
          </w:p>
          <w:p>
            <w:r>
              <w:rPr>
                <w:i/>
                <w:iCs/>
                <w:sz w:val="18"/>
                <w:szCs w:val="18"/>
              </w:rPr>
              <w:t xml:space="preserve">Abouee-Mehrizi et al., 2019</w:t>
            </w:r>
          </w:p>
        </w:tc>
        <w:tc>
          <w:tcPr>
            <w:tcW w:type="dxa" w:w="4200"/>
            <w:tcMar>
              <w:top w:type="dxa" w:w="80"/>
              <w:left w:type="dxa" w:w="100"/>
              <w:bottom w:type="dxa" w:w="80"/>
              <w:right w:type="dxa" w:w="100"/>
            </w:tcMar>
            <w:vAlign w:val="center"/>
          </w:tcPr>
          <w:p>
            <w:r>
              <w:rPr>
                <w:sz w:val="20"/>
                <w:szCs w:val="20"/>
              </w:rPr>
              <w:t xml:space="preserve">Mỗi nhóm đơn hàng chỉ nhận sản phẩm có remaining lifetime &gt; threshold. Chính sách tối ưu là sequential rationing policy khi thiếu hàng.</w:t>
            </w:r>
          </w:p>
        </w:tc>
        <w:tc>
          <w:tcPr>
            <w:tcW w:type="dxa" w:w="2839"/>
            <w:tcMar>
              <w:top w:type="dxa" w:w="80"/>
              <w:left w:type="dxa" w:w="100"/>
              <w:bottom w:type="dxa" w:w="80"/>
              <w:right w:type="dxa" w:w="100"/>
            </w:tcMar>
            <w:vAlign w:val="center"/>
          </w:tcPr>
          <w:p>
            <w:r>
              <w:rPr>
                <w:sz w:val="20"/>
                <w:szCs w:val="20"/>
              </w:rPr>
              <w:t xml:space="preserve">Markov Decision Process + heuristic (lệch tối ưu ~4%)</w:t>
            </w:r>
          </w:p>
        </w:tc>
      </w:tr>
      <w:tr>
        <w:tc>
          <w:tcPr>
            <w:tcW w:type="dxa" w:w="2600"/>
            <w:tcMar>
              <w:top w:type="dxa" w:w="80"/>
              <w:left w:type="dxa" w:w="100"/>
              <w:bottom w:type="dxa" w:w="80"/>
              <w:right w:type="dxa" w:w="100"/>
            </w:tcMar>
            <w:vAlign w:val="center"/>
          </w:tcPr>
          <w:p>
            <w:hyperlink w:history="1" r:id="rIdwjkkza4xjgctqlpxtuahy">
              <w:r>
                <w:rPr>
                  <w:rStyle w:val="Hyperlink"/>
                </w:rPr>
                <w:t xml:space="preserve">A centralized stochastic inventory control model for perishable products</w:t>
              </w:r>
            </w:hyperlink>
          </w:p>
          <w:p>
            <w:r>
              <w:rPr>
                <w:i/>
                <w:iCs/>
                <w:sz w:val="18"/>
                <w:szCs w:val="18"/>
              </w:rPr>
              <w:t xml:space="preserve">Ahmadi et al., 2020</w:t>
            </w:r>
          </w:p>
        </w:tc>
        <w:tc>
          <w:tcPr>
            <w:tcW w:type="dxa" w:w="4200"/>
            <w:tcMar>
              <w:top w:type="dxa" w:w="80"/>
              <w:left w:type="dxa" w:w="100"/>
              <w:bottom w:type="dxa" w:w="80"/>
              <w:right w:type="dxa" w:w="100"/>
            </w:tcMar>
            <w:vAlign w:val="center"/>
          </w:tcPr>
          <w:p>
            <w:r>
              <w:rPr>
                <w:sz w:val="20"/>
                <w:szCs w:val="20"/>
              </w:rPr>
              <w:t xml:space="preserve">Kho trung tâm phân phối cho nhiều điểm nhận; so sánh chiến lược CRL (luôn cấp hàng tươi nhất) và DRL (cho phép cấp hàng gần hạn, chiết khấu giá).</w:t>
            </w:r>
          </w:p>
        </w:tc>
        <w:tc>
          <w:tcPr>
            <w:tcW w:type="dxa" w:w="2839"/>
            <w:tcMar>
              <w:top w:type="dxa" w:w="80"/>
              <w:left w:type="dxa" w:w="100"/>
              <w:bottom w:type="dxa" w:w="80"/>
              <w:right w:type="dxa" w:w="100"/>
            </w:tcMar>
            <w:vAlign w:val="center"/>
          </w:tcPr>
          <w:p>
            <w:r>
              <w:rPr>
                <w:sz w:val="20"/>
                <w:szCs w:val="20"/>
              </w:rPr>
              <w:t xml:space="preserve">Stochastic MILP + Genetic Algorithm</w:t>
            </w:r>
          </w:p>
        </w:tc>
      </w:tr>
      <w:tr>
        <w:tc>
          <w:tcPr>
            <w:tcW w:type="dxa" w:w="2600"/>
            <w:tcMar>
              <w:top w:type="dxa" w:w="80"/>
              <w:left w:type="dxa" w:w="100"/>
              <w:bottom w:type="dxa" w:w="80"/>
              <w:right w:type="dxa" w:w="100"/>
            </w:tcMar>
            <w:vAlign w:val="center"/>
          </w:tcPr>
          <w:p>
            <w:hyperlink w:history="1" r:id="rIdf2i7nd43_q56_g8aw6ce1">
              <w:r>
                <w:rPr>
                  <w:rStyle w:val="Hyperlink"/>
                </w:rPr>
                <w:t xml:space="preserve">Multi-objective optimization for perishable product dispatch in a FEFO system</w:t>
              </w:r>
            </w:hyperlink>
          </w:p>
          <w:p>
            <w:r>
              <w:rPr>
                <w:i/>
                <w:iCs/>
                <w:sz w:val="18"/>
                <w:szCs w:val="18"/>
              </w:rPr>
              <w:t xml:space="preserve">Suárez et al., 2024</w:t>
            </w:r>
          </w:p>
        </w:tc>
        <w:tc>
          <w:tcPr>
            <w:tcW w:type="dxa" w:w="4200"/>
            <w:tcMar>
              <w:top w:type="dxa" w:w="80"/>
              <w:left w:type="dxa" w:w="100"/>
              <w:bottom w:type="dxa" w:w="80"/>
              <w:right w:type="dxa" w:w="100"/>
            </w:tcMar>
            <w:vAlign w:val="center"/>
          </w:tcPr>
          <w:p>
            <w:r>
              <w:rPr>
                <w:sz w:val="20"/>
                <w:szCs w:val="20"/>
              </w:rPr>
              <w:t xml:space="preserve">Gộp nhiều mục tiêu (giảm shortage + tuân thủ FEFO) bằng weighted-sum; khi thiếu hàng thì tái phân bổ bằng score-based dynamic programming.</w:t>
            </w:r>
          </w:p>
        </w:tc>
        <w:tc>
          <w:tcPr>
            <w:tcW w:type="dxa" w:w="2839"/>
            <w:tcMar>
              <w:top w:type="dxa" w:w="80"/>
              <w:left w:type="dxa" w:w="100"/>
              <w:bottom w:type="dxa" w:w="80"/>
              <w:right w:type="dxa" w:w="100"/>
            </w:tcMar>
            <w:vAlign w:val="center"/>
          </w:tcPr>
          <w:p>
            <w:r>
              <w:rPr>
                <w:sz w:val="20"/>
                <w:szCs w:val="20"/>
              </w:rPr>
              <w:t xml:space="preserve">Multi-objective MILP (CPLEX)</w:t>
            </w:r>
          </w:p>
        </w:tc>
      </w:tr>
      <w:tr>
        <w:tc>
          <w:tcPr>
            <w:tcW w:type="dxa" w:w="2600"/>
            <w:tcMar>
              <w:top w:type="dxa" w:w="80"/>
              <w:left w:type="dxa" w:w="100"/>
              <w:bottom w:type="dxa" w:w="80"/>
              <w:right w:type="dxa" w:w="100"/>
            </w:tcMar>
            <w:vAlign w:val="center"/>
          </w:tcPr>
          <w:p>
            <w:hyperlink w:history="1" r:id="rIdgkhpxsgq2w8flpz0pkabr">
              <w:r>
                <w:rPr>
                  <w:rStyle w:val="Hyperlink"/>
                </w:rPr>
                <w:t xml:space="preserve">Joint Optimization of Fair Facility Allocation and Robust Inventory Management</w:t>
              </w:r>
            </w:hyperlink>
          </w:p>
          <w:p>
            <w:r>
              <w:rPr>
                <w:i/>
                <w:iCs/>
                <w:sz w:val="18"/>
                <w:szCs w:val="18"/>
              </w:rPr>
              <w:t xml:space="preserve">Ghasemi Naraghi et al., 2025</w:t>
            </w:r>
          </w:p>
        </w:tc>
        <w:tc>
          <w:tcPr>
            <w:tcW w:type="dxa" w:w="4200"/>
            <w:tcMar>
              <w:top w:type="dxa" w:w="80"/>
              <w:left w:type="dxa" w:w="100"/>
              <w:bottom w:type="dxa" w:w="80"/>
              <w:right w:type="dxa" w:w="100"/>
            </w:tcMar>
            <w:vAlign w:val="center"/>
          </w:tcPr>
          <w:p>
            <w:r>
              <w:rPr>
                <w:sz w:val="20"/>
                <w:szCs w:val="20"/>
              </w:rPr>
              <w:t xml:space="preserve">Linearize ràng buộc FIFO/FEFO phi tuyến thành MILP tuyến tính — hữu ích nếu SV muốn code MILP thật bằng solver mã nguồn mở.</w:t>
            </w:r>
          </w:p>
        </w:tc>
        <w:tc>
          <w:tcPr>
            <w:tcW w:type="dxa" w:w="2839"/>
            <w:tcMar>
              <w:top w:type="dxa" w:w="80"/>
              <w:left w:type="dxa" w:w="100"/>
              <w:bottom w:type="dxa" w:w="80"/>
              <w:right w:type="dxa" w:w="100"/>
            </w:tcMar>
            <w:vAlign w:val="center"/>
          </w:tcPr>
          <w:p>
            <w:r>
              <w:rPr>
                <w:sz w:val="20"/>
                <w:szCs w:val="20"/>
              </w:rPr>
              <w:t xml:space="preserve">Robust two-stage MILP</w:t>
            </w:r>
          </w:p>
        </w:tc>
      </w:tr>
      <w:tr>
        <w:tc>
          <w:tcPr>
            <w:tcW w:type="dxa" w:w="2600"/>
            <w:tcMar>
              <w:top w:type="dxa" w:w="80"/>
              <w:left w:type="dxa" w:w="100"/>
              <w:bottom w:type="dxa" w:w="80"/>
              <w:right w:type="dxa" w:w="100"/>
            </w:tcMar>
            <w:vAlign w:val="center"/>
          </w:tcPr>
          <w:p>
            <w:hyperlink w:history="1" r:id="rIdigrckr3ls9n06bnzvb1kf">
              <w:r>
                <w:rPr>
                  <w:rStyle w:val="Hyperlink"/>
                </w:rPr>
                <w:t xml:space="preserve">On the value of multi-echelon inventory management strategies for perishable items</w:t>
              </w:r>
            </w:hyperlink>
          </w:p>
          <w:p>
            <w:r>
              <w:rPr>
                <w:i/>
                <w:iCs/>
                <w:sz w:val="18"/>
                <w:szCs w:val="18"/>
              </w:rPr>
              <w:t xml:space="preserve">Gioia et al., 2023</w:t>
            </w:r>
          </w:p>
        </w:tc>
        <w:tc>
          <w:tcPr>
            <w:tcW w:type="dxa" w:w="4200"/>
            <w:tcMar>
              <w:top w:type="dxa" w:w="80"/>
              <w:left w:type="dxa" w:w="100"/>
              <w:bottom w:type="dxa" w:w="80"/>
              <w:right w:type="dxa" w:w="100"/>
            </w:tcMar>
            <w:vAlign w:val="center"/>
          </w:tcPr>
          <w:p>
            <w:r>
              <w:rPr>
                <w:sz w:val="20"/>
                <w:szCs w:val="20"/>
              </w:rPr>
              <w:t xml:space="preserve">Chứng minh nên dồn hàng tươi nhất cho kênh/đơn có yêu cầu hạn dùng khắt khe hơn — biện minh cho trọng số hạn dùng thay đổi theo từng đơn.</w:t>
            </w:r>
          </w:p>
        </w:tc>
        <w:tc>
          <w:tcPr>
            <w:tcW w:type="dxa" w:w="2839"/>
            <w:tcMar>
              <w:top w:type="dxa" w:w="80"/>
              <w:left w:type="dxa" w:w="100"/>
              <w:bottom w:type="dxa" w:w="80"/>
              <w:right w:type="dxa" w:w="100"/>
            </w:tcMar>
            <w:vAlign w:val="center"/>
          </w:tcPr>
          <w:p>
            <w:r>
              <w:rPr>
                <w:sz w:val="20"/>
                <w:szCs w:val="20"/>
              </w:rPr>
              <w:t xml:space="preserve">Dynamic programming + heuristic policies</w:t>
            </w:r>
          </w:p>
        </w:tc>
      </w:tr>
    </w:tbl>
    <w:p>
      <w:pPr>
        <w:spacing w:after="200"/>
      </w:pPr>
    </w:p>
    <w:p>
      <w:pPr>
        <w:pStyle w:val="Heading2"/>
        <w:spacing w:after="120" w:before="250"/>
      </w:pPr>
      <w:r>
        <w:t xml:space="preserve">Tầng 2 — Location/Allocation-Inventory (thêm số lượng kho &amp; khoảng cách)</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9"/>
      </w:tblGrid>
      <w:tr>
        <w:trPr>
          <w:tblHeader/>
        </w:trPr>
        <w:tc>
          <w:tcPr>
            <w:tcW w:type="dxa" w:w="2600"/>
            <w:shd w:fill="2E5395" w:val="clear"/>
            <w:tcMar>
              <w:top w:type="dxa" w:w="80"/>
              <w:left w:type="dxa" w:w="100"/>
              <w:bottom w:type="dxa" w:w="80"/>
              <w:right w:type="dxa" w:w="100"/>
            </w:tcMar>
            <w:vAlign w:val="center"/>
          </w:tcPr>
          <w:p>
            <w:r>
              <w:rPr>
                <w:b/>
                <w:bCs/>
                <w:color w:val="FFFFFF"/>
                <w:sz w:val="20"/>
                <w:szCs w:val="20"/>
              </w:rPr>
              <w:t xml:space="preserve">Paper</w:t>
            </w:r>
          </w:p>
        </w:tc>
        <w:tc>
          <w:tcPr>
            <w:tcW w:type="dxa" w:w="4200"/>
            <w:shd w:fill="2E5395" w:val="clear"/>
            <w:tcMar>
              <w:top w:type="dxa" w:w="80"/>
              <w:left w:type="dxa" w:w="100"/>
              <w:bottom w:type="dxa" w:w="80"/>
              <w:right w:type="dxa" w:w="100"/>
            </w:tcMar>
            <w:vAlign w:val="center"/>
          </w:tcPr>
          <w:p>
            <w:r>
              <w:rPr>
                <w:b/>
                <w:bCs/>
                <w:color w:val="FFFFFF"/>
                <w:sz w:val="20"/>
                <w:szCs w:val="20"/>
              </w:rPr>
              <w:t xml:space="preserve">Đóng góp chính</w:t>
            </w:r>
          </w:p>
        </w:tc>
        <w:tc>
          <w:tcPr>
            <w:tcW w:type="dxa" w:w="2839"/>
            <w:shd w:fill="2E5395" w:val="clear"/>
            <w:tcMar>
              <w:top w:type="dxa" w:w="80"/>
              <w:left w:type="dxa" w:w="100"/>
              <w:bottom w:type="dxa" w:w="80"/>
              <w:right w:type="dxa" w:w="100"/>
            </w:tcMar>
            <w:vAlign w:val="center"/>
          </w:tcPr>
          <w:p>
            <w:r>
              <w:rPr>
                <w:b/>
                <w:bCs/>
                <w:color w:val="FFFFFF"/>
                <w:sz w:val="20"/>
                <w:szCs w:val="20"/>
              </w:rPr>
              <w:t xml:space="preserve">Phương pháp</w:t>
            </w:r>
          </w:p>
        </w:tc>
      </w:tr>
      <w:tr>
        <w:tc>
          <w:tcPr>
            <w:tcW w:type="dxa" w:w="2600"/>
            <w:tcMar>
              <w:top w:type="dxa" w:w="80"/>
              <w:left w:type="dxa" w:w="100"/>
              <w:bottom w:type="dxa" w:w="80"/>
              <w:right w:type="dxa" w:w="100"/>
            </w:tcMar>
            <w:vAlign w:val="center"/>
          </w:tcPr>
          <w:p>
            <w:hyperlink w:history="1" r:id="rIdkejcss-ty308pob_7iykg">
              <w:r>
                <w:rPr>
                  <w:rStyle w:val="Hyperlink"/>
                </w:rPr>
                <w:t xml:space="preserve">An integrated approach for optimizing location-inventory and location-inventory-routing problem</w:t>
              </w:r>
            </w:hyperlink>
          </w:p>
          <w:p>
            <w:r>
              <w:rPr>
                <w:i/>
                <w:iCs/>
                <w:sz w:val="18"/>
                <w:szCs w:val="18"/>
              </w:rPr>
              <w:t xml:space="preserve">Song et al., 2022</w:t>
            </w:r>
          </w:p>
        </w:tc>
        <w:tc>
          <w:tcPr>
            <w:tcW w:type="dxa" w:w="4200"/>
            <w:tcMar>
              <w:top w:type="dxa" w:w="80"/>
              <w:left w:type="dxa" w:w="100"/>
              <w:bottom w:type="dxa" w:w="80"/>
              <w:right w:type="dxa" w:w="100"/>
            </w:tcMar>
            <w:vAlign w:val="center"/>
          </w:tcPr>
          <w:p>
            <w:r>
              <w:rPr>
                <w:sz w:val="20"/>
                <w:szCs w:val="20"/>
              </w:rPr>
              <w:t xml:space="preserve">Case study sữa tươi (rất gần FMCG); tối ưu đồng thời vị trí kho, tồn kho và tuyến vận chuyển.</w:t>
            </w:r>
          </w:p>
        </w:tc>
        <w:tc>
          <w:tcPr>
            <w:tcW w:type="dxa" w:w="2839"/>
            <w:tcMar>
              <w:top w:type="dxa" w:w="80"/>
              <w:left w:type="dxa" w:w="100"/>
              <w:bottom w:type="dxa" w:w="80"/>
              <w:right w:type="dxa" w:w="100"/>
            </w:tcMar>
            <w:vAlign w:val="center"/>
          </w:tcPr>
          <w:p>
            <w:r>
              <w:rPr>
                <w:sz w:val="20"/>
                <w:szCs w:val="20"/>
              </w:rPr>
              <w:t xml:space="preserve">MINLP/MILP + Simulated Annealing</w:t>
            </w:r>
          </w:p>
        </w:tc>
      </w:tr>
    </w:tbl>
    <w:p>
      <w:pPr>
        <w:spacing w:after="200"/>
      </w:pPr>
    </w:p>
    <w:p>
      <w:pPr>
        <w:pStyle w:val="Heading2"/>
        <w:spacing w:after="120" w:before="250"/>
      </w:pPr>
      <w:r>
        <w:t xml:space="preserve">Tầng 3 — Location-Inventory-Routing / PIRP (NGOÀI PHẠM VI hiện tại)</w:t>
      </w:r>
    </w:p>
    <w:p>
      <w:pPr>
        <w:spacing w:after="150"/>
      </w:pPr>
      <w:r>
        <w:rPr>
          <w:i/>
          <w:iCs/>
          <w:color w:val="B00000"/>
          <w:sz w:val="20"/>
          <w:szCs w:val="20"/>
        </w:rPr>
        <w:t xml:space="preserve">⚠ Đề tài FA26SE083 hiện KHÔNG có module định tuyến xe (vehicle routing). Phần này chỉ để tham khảo dự phòng nếu phạm vi đồ án mở rộng thêm ở giai đoạn sau; nhóm SV không cần đọc/triển khai trong scope hiện tại.</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9"/>
      </w:tblGrid>
      <w:tr>
        <w:trPr>
          <w:tblHeader/>
        </w:trPr>
        <w:tc>
          <w:tcPr>
            <w:tcW w:type="dxa" w:w="2600"/>
            <w:shd w:fill="2E5395" w:val="clear"/>
            <w:tcMar>
              <w:top w:type="dxa" w:w="80"/>
              <w:left w:type="dxa" w:w="100"/>
              <w:bottom w:type="dxa" w:w="80"/>
              <w:right w:type="dxa" w:w="100"/>
            </w:tcMar>
            <w:vAlign w:val="center"/>
          </w:tcPr>
          <w:p>
            <w:r>
              <w:rPr>
                <w:b/>
                <w:bCs/>
                <w:color w:val="FFFFFF"/>
                <w:sz w:val="20"/>
                <w:szCs w:val="20"/>
              </w:rPr>
              <w:t xml:space="preserve">Paper</w:t>
            </w:r>
          </w:p>
        </w:tc>
        <w:tc>
          <w:tcPr>
            <w:tcW w:type="dxa" w:w="4200"/>
            <w:shd w:fill="2E5395" w:val="clear"/>
            <w:tcMar>
              <w:top w:type="dxa" w:w="80"/>
              <w:left w:type="dxa" w:w="100"/>
              <w:bottom w:type="dxa" w:w="80"/>
              <w:right w:type="dxa" w:w="100"/>
            </w:tcMar>
            <w:vAlign w:val="center"/>
          </w:tcPr>
          <w:p>
            <w:r>
              <w:rPr>
                <w:b/>
                <w:bCs/>
                <w:color w:val="FFFFFF"/>
                <w:sz w:val="20"/>
                <w:szCs w:val="20"/>
              </w:rPr>
              <w:t xml:space="preserve">Đóng góp chính</w:t>
            </w:r>
          </w:p>
        </w:tc>
        <w:tc>
          <w:tcPr>
            <w:tcW w:type="dxa" w:w="2839"/>
            <w:shd w:fill="2E5395" w:val="clear"/>
            <w:tcMar>
              <w:top w:type="dxa" w:w="80"/>
              <w:left w:type="dxa" w:w="100"/>
              <w:bottom w:type="dxa" w:w="80"/>
              <w:right w:type="dxa" w:w="100"/>
            </w:tcMar>
            <w:vAlign w:val="center"/>
          </w:tcPr>
          <w:p>
            <w:r>
              <w:rPr>
                <w:b/>
                <w:bCs/>
                <w:color w:val="FFFFFF"/>
                <w:sz w:val="20"/>
                <w:szCs w:val="20"/>
              </w:rPr>
              <w:t xml:space="preserve">Phương pháp</w:t>
            </w:r>
          </w:p>
        </w:tc>
      </w:tr>
      <w:tr>
        <w:tc>
          <w:tcPr>
            <w:tcW w:type="dxa" w:w="2600"/>
            <w:tcMar>
              <w:top w:type="dxa" w:w="80"/>
              <w:left w:type="dxa" w:w="100"/>
              <w:bottom w:type="dxa" w:w="80"/>
              <w:right w:type="dxa" w:w="100"/>
            </w:tcMar>
            <w:vAlign w:val="center"/>
          </w:tcPr>
          <w:p>
            <w:hyperlink w:history="1" r:id="rIdr9gadohzccpixfykdqhse">
              <w:r>
                <w:rPr>
                  <w:rStyle w:val="Hyperlink"/>
                </w:rPr>
                <w:t xml:space="preserve">A genetic algorithm approach for location-inventory-routing problem with perishable products</w:t>
              </w:r>
            </w:hyperlink>
          </w:p>
          <w:p>
            <w:r>
              <w:rPr>
                <w:i/>
                <w:iCs/>
                <w:sz w:val="18"/>
                <w:szCs w:val="18"/>
              </w:rPr>
              <w:t xml:space="preserve">Hiassat et al., 2016 — 307 citations</w:t>
            </w:r>
          </w:p>
        </w:tc>
        <w:tc>
          <w:tcPr>
            <w:tcW w:type="dxa" w:w="4200"/>
            <w:tcMar>
              <w:top w:type="dxa" w:w="80"/>
              <w:left w:type="dxa" w:w="100"/>
              <w:bottom w:type="dxa" w:w="80"/>
              <w:right w:type="dxa" w:w="100"/>
            </w:tcMar>
            <w:vAlign w:val="center"/>
          </w:tcPr>
          <w:p>
            <w:r>
              <w:rPr>
                <w:sz w:val="20"/>
                <w:szCs w:val="20"/>
              </w:rPr>
              <w:t xml:space="preserve">Baseline chuẩn của bài toán LIRP: quyết định đồng thời số lượng/vị trí kho, tồn kho tại từng điểm bán, và tuyến xe.</w:t>
            </w:r>
          </w:p>
        </w:tc>
        <w:tc>
          <w:tcPr>
            <w:tcW w:type="dxa" w:w="2839"/>
            <w:tcMar>
              <w:top w:type="dxa" w:w="80"/>
              <w:left w:type="dxa" w:w="100"/>
              <w:bottom w:type="dxa" w:w="80"/>
              <w:right w:type="dxa" w:w="100"/>
            </w:tcMar>
            <w:vAlign w:val="center"/>
          </w:tcPr>
          <w:p>
            <w:r>
              <w:rPr>
                <w:sz w:val="20"/>
                <w:szCs w:val="20"/>
              </w:rPr>
              <w:t xml:space="preserve">Genetic Algorithm, chromosome encoding riêng</w:t>
            </w:r>
          </w:p>
        </w:tc>
      </w:tr>
      <w:tr>
        <w:tc>
          <w:tcPr>
            <w:tcW w:type="dxa" w:w="2600"/>
            <w:tcMar>
              <w:top w:type="dxa" w:w="80"/>
              <w:left w:type="dxa" w:w="100"/>
              <w:bottom w:type="dxa" w:w="80"/>
              <w:right w:type="dxa" w:w="100"/>
            </w:tcMar>
            <w:vAlign w:val="center"/>
          </w:tcPr>
          <w:p>
            <w:hyperlink w:history="1" r:id="rId4yge84nann3uk4jfgai_h">
              <w:r>
                <w:rPr>
                  <w:rStyle w:val="Hyperlink"/>
                </w:rPr>
                <w:t xml:space="preserve">Agri-food supply chains with stochastic demands: A multi-period inventory routing problem</w:t>
              </w:r>
            </w:hyperlink>
          </w:p>
          <w:p>
            <w:r>
              <w:rPr>
                <w:i/>
                <w:iCs/>
                <w:sz w:val="18"/>
                <w:szCs w:val="18"/>
              </w:rPr>
              <w:t xml:space="preserve">Onggo et al., 2019</w:t>
            </w:r>
          </w:p>
        </w:tc>
        <w:tc>
          <w:tcPr>
            <w:tcW w:type="dxa" w:w="4200"/>
            <w:tcMar>
              <w:top w:type="dxa" w:w="80"/>
              <w:left w:type="dxa" w:w="100"/>
              <w:bottom w:type="dxa" w:w="80"/>
              <w:right w:type="dxa" w:w="100"/>
            </w:tcMar>
            <w:vAlign w:val="center"/>
          </w:tcPr>
          <w:p>
            <w:r>
              <w:rPr>
                <w:sz w:val="20"/>
                <w:szCs w:val="20"/>
              </w:rPr>
              <w:t xml:space="preserve">Xử lý nhu cầu bất định (stochastic demand) trong bài toán PIRP.</w:t>
            </w:r>
          </w:p>
        </w:tc>
        <w:tc>
          <w:tcPr>
            <w:tcW w:type="dxa" w:w="2839"/>
            <w:tcMar>
              <w:top w:type="dxa" w:w="80"/>
              <w:left w:type="dxa" w:w="100"/>
              <w:bottom w:type="dxa" w:w="80"/>
              <w:right w:type="dxa" w:w="100"/>
            </w:tcMar>
            <w:vAlign w:val="center"/>
          </w:tcPr>
          <w:p>
            <w:r>
              <w:rPr>
                <w:sz w:val="20"/>
                <w:szCs w:val="20"/>
              </w:rPr>
              <w:t xml:space="preserve">Simheuristic (Monte Carlo + Iterated Local Search)</w:t>
            </w:r>
          </w:p>
        </w:tc>
      </w:tr>
      <w:tr>
        <w:tc>
          <w:tcPr>
            <w:tcW w:type="dxa" w:w="2600"/>
            <w:tcMar>
              <w:top w:type="dxa" w:w="80"/>
              <w:left w:type="dxa" w:w="100"/>
              <w:bottom w:type="dxa" w:w="80"/>
              <w:right w:type="dxa" w:w="100"/>
            </w:tcMar>
            <w:vAlign w:val="center"/>
          </w:tcPr>
          <w:p>
            <w:hyperlink w:history="1" r:id="rIdcw8qq50qn0gxz4pttbobe">
              <w:r>
                <w:rPr>
                  <w:rStyle w:val="Hyperlink"/>
                </w:rPr>
                <w:t xml:space="preserve">Formulations, branch-and-cut and a hybrid heuristic algorithm for an inventory routing problem</w:t>
              </w:r>
            </w:hyperlink>
          </w:p>
          <w:p>
            <w:r>
              <w:rPr>
                <w:i/>
                <w:iCs/>
                <w:sz w:val="18"/>
                <w:szCs w:val="18"/>
              </w:rPr>
              <w:t xml:space="preserve">Alvarez et al., 2020</w:t>
            </w:r>
          </w:p>
        </w:tc>
        <w:tc>
          <w:tcPr>
            <w:tcW w:type="dxa" w:w="4200"/>
            <w:tcMar>
              <w:top w:type="dxa" w:w="80"/>
              <w:left w:type="dxa" w:w="100"/>
              <w:bottom w:type="dxa" w:w="80"/>
              <w:right w:type="dxa" w:w="100"/>
            </w:tcMar>
            <w:vAlign w:val="center"/>
          </w:tcPr>
          <w:p>
            <w:r>
              <w:rPr>
                <w:sz w:val="20"/>
                <w:szCs w:val="20"/>
              </w:rPr>
              <w:t xml:space="preserve">Cung cấp lower bound chính xác (branch-and-cut) để benchmark chất lượng heuristic tự code.</w:t>
            </w:r>
          </w:p>
        </w:tc>
        <w:tc>
          <w:tcPr>
            <w:tcW w:type="dxa" w:w="2839"/>
            <w:tcMar>
              <w:top w:type="dxa" w:w="80"/>
              <w:left w:type="dxa" w:w="100"/>
              <w:bottom w:type="dxa" w:w="80"/>
              <w:right w:type="dxa" w:w="100"/>
            </w:tcMar>
            <w:vAlign w:val="center"/>
          </w:tcPr>
          <w:p>
            <w:r>
              <w:rPr>
                <w:sz w:val="20"/>
                <w:szCs w:val="20"/>
              </w:rPr>
              <w:t xml:space="preserve">Branch-and-cut + hybrid ILS</w:t>
            </w:r>
          </w:p>
        </w:tc>
      </w:tr>
      <w:tr>
        <w:tc>
          <w:tcPr>
            <w:tcW w:type="dxa" w:w="2600"/>
            <w:tcMar>
              <w:top w:type="dxa" w:w="80"/>
              <w:left w:type="dxa" w:w="100"/>
              <w:bottom w:type="dxa" w:w="80"/>
              <w:right w:type="dxa" w:w="100"/>
            </w:tcMar>
            <w:vAlign w:val="center"/>
          </w:tcPr>
          <w:p>
            <w:hyperlink w:history="1" r:id="rIdrwqnfspdi8fcwlzbvxjha">
              <w:r>
                <w:rPr>
                  <w:rStyle w:val="Hyperlink"/>
                </w:rPr>
                <w:t xml:space="preserve">Multi-echelon open location-routing problem with time window... for optimizing food supply chains</w:t>
              </w:r>
            </w:hyperlink>
          </w:p>
          <w:p>
            <w:r>
              <w:rPr>
                <w:i/>
                <w:iCs/>
                <w:sz w:val="18"/>
                <w:szCs w:val="18"/>
              </w:rPr>
              <w:t xml:space="preserve">Mokhtari-Moghadam et al., 2025</w:t>
            </w:r>
          </w:p>
        </w:tc>
        <w:tc>
          <w:tcPr>
            <w:tcW w:type="dxa" w:w="4200"/>
            <w:tcMar>
              <w:top w:type="dxa" w:w="80"/>
              <w:left w:type="dxa" w:w="100"/>
              <w:bottom w:type="dxa" w:w="80"/>
              <w:right w:type="dxa" w:w="100"/>
            </w:tcMar>
            <w:vAlign w:val="center"/>
          </w:tcPr>
          <w:p>
            <w:r>
              <w:rPr>
                <w:sz w:val="20"/>
                <w:szCs w:val="20"/>
              </w:rPr>
              <w:t xml:space="preserve">Nói thẳng về FMCG, so sánh Hybrid GA với ABC/SA/ICA — tài liệu tốt cho phần Related Work của báo cáo.</w:t>
            </w:r>
          </w:p>
        </w:tc>
        <w:tc>
          <w:tcPr>
            <w:tcW w:type="dxa" w:w="2839"/>
            <w:tcMar>
              <w:top w:type="dxa" w:w="80"/>
              <w:left w:type="dxa" w:w="100"/>
              <w:bottom w:type="dxa" w:w="80"/>
              <w:right w:type="dxa" w:w="100"/>
            </w:tcMar>
            <w:vAlign w:val="center"/>
          </w:tcPr>
          <w:p>
            <w:r>
              <w:rPr>
                <w:sz w:val="20"/>
                <w:szCs w:val="20"/>
              </w:rPr>
              <w:t xml:space="preserve">Hybrid Genetic Algorithm (HGA)</w:t>
            </w:r>
          </w:p>
        </w:tc>
      </w:tr>
    </w:tbl>
    <w:p>
      <w:r>
        <w:br w:type="page"/>
      </w:r>
    </w:p>
    <w:p>
      <w:pPr>
        <w:pStyle w:val="Heading1"/>
        <w:spacing w:after="150" w:before="300"/>
      </w:pPr>
      <w:r>
        <w:t xml:space="preserve">3. Thuật toán đề xuất cho đồ án — "Feasible-Set Filter + Weighted Score"</w:t>
      </w:r>
    </w:p>
    <w:p>
      <w:pPr>
        <w:spacing w:after="120"/>
      </w:pPr>
      <w:r>
        <w:t xml:space="preserve">Với quy mô một đồ án capstone (không phải research thesis), khuyến nghị KHÔNG chọn MILP/CPLEX đầy đủ (cần solver thương mại, khó demo) hay GA-LIRP đầy đủ (quá nặng nếu không có module routing). Thuật toán 2 bước dưới đây vừa giữ đúng nguyên lý FEFO, vừa tôn trọng khoảng cách/tồn kho, vừa dễ code và có cơ sở khoa học trích dẫn.</w:t>
      </w:r>
    </w:p>
    <w:p>
      <w:pPr>
        <w:pStyle w:val="Heading2"/>
        <w:spacing w:after="120" w:before="250"/>
      </w:pPr>
      <w:r>
        <w:t xml:space="preserve">Bước 1 — Lọc tập khả thi (Feasible-Set Filter)</w:t>
      </w:r>
    </w:p>
    <w:p>
      <w:pPr>
        <w:spacing w:after="120"/>
      </w:pPr>
      <w:r>
        <w:t xml:space="preserve">Với mỗi đơn hàng, loại bỏ mọi lô hàng ở mọi kho không thỏa ràng buộc cứng về hạn dùng:</w:t>
      </w:r>
    </w:p>
    <w:p>
      <w:pPr>
        <w:shd w:fill="F2F2F2" w:val="clear"/>
        <w:spacing w:after="200" w:before="100"/>
      </w:pPr>
      <w:r>
        <w:rPr>
          <w:rFonts w:ascii="Consolas" w:cs="Consolas" w:eastAsia="Consolas" w:hAnsi="Consolas"/>
          <w:sz w:val="20"/>
          <w:szCs w:val="20"/>
        </w:rPr>
        <w:t xml:space="preserve">remaining_shelf_life(lô, kho)  &lt;  min_shelf_life_required(đơn hàng)   →  LOẠI</w:t>
      </w:r>
    </w:p>
    <w:p>
      <w:pPr>
        <w:spacing w:after="120"/>
      </w:pPr>
      <w:r>
        <w:t xml:space="preserve">Cơ sở: Abouee-Mehrizi et al. [Tầng 1] — ràng buộc "remaining lifetime &gt; threshold" theo từng nhóm đơn hàng.</w:t>
      </w:r>
    </w:p>
    <w:p>
      <w:pPr>
        <w:pStyle w:val="Heading2"/>
        <w:spacing w:after="120" w:before="250"/>
      </w:pPr>
      <w:r>
        <w:t xml:space="preserve">Bước 2 — Chấm điểm theo trọng số (Weighted Score) trong tập khả thi còn lại</w:t>
      </w:r>
    </w:p>
    <w:p>
      <w:pPr>
        <w:shd w:fill="F2F2F2" w:val="clear"/>
        <w:spacing w:after="120" w:before="100"/>
      </w:pPr>
      <w:r>
        <w:rPr>
          <w:rFonts w:ascii="Consolas" w:cs="Consolas" w:eastAsia="Consolas" w:hAnsi="Consolas"/>
          <w:sz w:val="20"/>
          <w:szCs w:val="20"/>
        </w:rPr>
        <w:t xml:space="preserve">score(lô, kho) = w1·FEFO_priority + w2·(1/khoảng_cách) + w3·mức_tồn_kho_dư</w:t>
      </w:r>
    </w:p>
    <w:p>
      <w:pPr>
        <w:pStyle w:val="ListParagraph"/>
        <w:numPr>
          <w:ilvl w:val="0"/>
          <w:numId w:val="2"/>
        </w:numPr>
        <w:spacing w:after="80"/>
      </w:pPr>
      <w:r>
        <w:rPr>
          <w:b/>
          <w:bCs/>
        </w:rPr>
        <w:t xml:space="preserve">FEFO_priority</w:t>
      </w:r>
      <w:r>
        <w:t xml:space="preserve">: hạn dùng còn lại càng ngắn → điểm càng cao (ưu tiên xuất trước, giảm lãng phí);</w:t>
      </w:r>
    </w:p>
    <w:p>
      <w:pPr>
        <w:pStyle w:val="ListParagraph"/>
        <w:numPr>
          <w:ilvl w:val="0"/>
          <w:numId w:val="2"/>
        </w:numPr>
        <w:spacing w:after="80"/>
      </w:pPr>
      <w:r>
        <w:rPr>
          <w:b/>
          <w:bCs/>
        </w:rPr>
        <w:t xml:space="preserve">1/khoảng_cách</w:t>
      </w:r>
      <w:r>
        <w:t xml:space="preserve">: kho càng gần điểm giao → điểm càng cao (giảm chi phí vận chuyển);</w:t>
      </w:r>
    </w:p>
    <w:p>
      <w:pPr>
        <w:pStyle w:val="ListParagraph"/>
        <w:numPr>
          <w:ilvl w:val="0"/>
          <w:numId w:val="2"/>
        </w:numPr>
        <w:spacing w:after="80"/>
      </w:pPr>
      <w:r>
        <w:rPr>
          <w:b/>
          <w:bCs/>
        </w:rPr>
        <w:t xml:space="preserve">mức_tồn_kho_dư</w:t>
      </w:r>
      <w:r>
        <w:t xml:space="preserve">: ưu tiên kho có tồn kho dư nhiều hơn để tránh dồn tải một kho.</w:t>
      </w:r>
    </w:p>
    <w:p>
      <w:pPr>
        <w:spacing w:after="120"/>
      </w:pPr>
      <w:r>
        <w:t xml:space="preserve">Chọn (lô, kho) có score cao nhất để phân bổ. Trọng số w1, w2, w3 nên thay đổi theo yêu cầu hạn dùng của từng đơn — đơn yêu cầu hạn dùng khắt khe thì w1 giảm tương đối (đã lọc cứng ở bước 1), đơn không yêu cầu khắt khe thì w1 tăng để ưu tiên giảm waste.</w:t>
      </w:r>
    </w:p>
    <w:p>
      <w:pPr>
        <w:spacing w:after="120"/>
      </w:pPr>
      <w:r>
        <w:t xml:space="preserve">Cơ sở: Suárez et al. (weighted-sum, score-based) + Gioia et al. (trọng số hạn dùng nên thay đổi theo kênh/đơn) [Tầng 1].</w:t>
      </w:r>
    </w:p>
    <w:p>
      <w:pPr>
        <w:pStyle w:val="Heading2"/>
        <w:spacing w:after="120" w:before="250"/>
      </w:pPr>
      <w:r>
        <w:t xml:space="preserve">Bước 3 — Fallback khi thiếu hàng (Sequential Rationing)</w:t>
      </w:r>
    </w:p>
    <w:p>
      <w:pPr>
        <w:spacing w:after="120"/>
      </w:pPr>
      <w:r>
        <w:t xml:space="preserve">Nếu tổng tồn kho khả thi không đủ đáp ứng mọi đơn trong cùng chu kỳ, ưu tiên đơn có ràng buộc hạn dùng khắt khe nhất trước (vì tập kho/lô thỏa mãn của các đơn này hẹp hơn, dễ bị "đói hàng" nhất nếu xử lý sau).</w:t>
      </w:r>
    </w:p>
    <w:p>
      <w:pPr>
        <w:spacing w:after="120"/>
      </w:pPr>
      <w:r>
        <w:t xml:space="preserve">Cơ sở: Abouee-Mehrizi et al. — sequential rationing policy [Tầng 1].</w:t>
      </w:r>
    </w:p>
    <w:p>
      <w:pPr>
        <w:pStyle w:val="Heading2"/>
        <w:spacing w:after="120" w:before="250"/>
      </w:pPr>
      <w:r>
        <w:t xml:space="preserve">Mở rộng tùy chọn (nếu hội đồng yêu cầu "tối ưu hoá toán học thật")</w:t>
      </w:r>
    </w:p>
    <w:p>
      <w:pPr>
        <w:spacing w:after="120"/>
      </w:pPr>
      <w:r>
        <w:t xml:space="preserve">Thay bước 2 bằng một MILP nhỏ giải bằng Google OR-Tools (CP-SAT, miễn phí, không cần CPLEX), dùng kỹ thuật linearize ràng buộc FEFO của Ghasemi Naraghi et al. [Tầng 1].</w:t>
      </w:r>
    </w:p>
    <w:p>
      <w:r>
        <w:br w:type="page"/>
      </w:r>
    </w:p>
    <w:p>
      <w:pPr>
        <w:pStyle w:val="Heading1"/>
        <w:spacing w:after="150" w:before="300"/>
      </w:pPr>
      <w:r>
        <w:t xml:space="preserve">4. Ví dụ minh họa từng bước</w:t>
      </w:r>
    </w:p>
    <w:p>
      <w:pPr>
        <w:spacing w:after="120"/>
      </w:pPr>
      <w:r>
        <w:t xml:space="preserve">Giả định: đơn hàng ORD-001 cần 1.000 thùng sữa chua Y, yêu cầu hạn dùng còn lại tối thiểu 20 ngày, giao tại điểm Z. Hệ thống có 4 kho A, B, C, D đang giữ lô hàng của sản phẩm 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700"/>
        <w:gridCol w:w="2646"/>
        <w:gridCol w:w="2646"/>
        <w:gridCol w:w="2647"/>
      </w:tblGrid>
      <w:tr>
        <w:trPr>
          <w:tblHeader/>
        </w:trPr>
        <w:tc>
          <w:tcPr>
            <w:tcW w:type="dxa" w:w="1700"/>
            <w:shd w:fill="2E5395" w:val="clear"/>
            <w:tcMar>
              <w:top w:type="dxa" w:w="80"/>
              <w:left w:type="dxa" w:w="100"/>
              <w:bottom w:type="dxa" w:w="80"/>
              <w:right w:type="dxa" w:w="100"/>
            </w:tcMar>
            <w:vAlign w:val="center"/>
          </w:tcPr>
          <w:p>
            <w:r>
              <w:rPr>
                <w:b/>
                <w:bCs/>
                <w:color w:val="FFFFFF"/>
                <w:sz w:val="20"/>
                <w:szCs w:val="20"/>
              </w:rPr>
              <w:t xml:space="preserve">Kho</w:t>
            </w:r>
          </w:p>
        </w:tc>
        <w:tc>
          <w:tcPr>
            <w:tcW w:type="dxa" w:w="2646"/>
            <w:shd w:fill="2E5395" w:val="clear"/>
            <w:tcMar>
              <w:top w:type="dxa" w:w="80"/>
              <w:left w:type="dxa" w:w="100"/>
              <w:bottom w:type="dxa" w:w="80"/>
              <w:right w:type="dxa" w:w="100"/>
            </w:tcMar>
            <w:vAlign w:val="center"/>
          </w:tcPr>
          <w:p>
            <w:r>
              <w:rPr>
                <w:b/>
                <w:bCs/>
                <w:color w:val="FFFFFF"/>
                <w:sz w:val="20"/>
                <w:szCs w:val="20"/>
              </w:rPr>
              <w:t xml:space="preserve">Hạn dùng còn lại (ngày)</w:t>
            </w:r>
          </w:p>
        </w:tc>
        <w:tc>
          <w:tcPr>
            <w:tcW w:type="dxa" w:w="2646"/>
            <w:shd w:fill="2E5395" w:val="clear"/>
            <w:tcMar>
              <w:top w:type="dxa" w:w="80"/>
              <w:left w:type="dxa" w:w="100"/>
              <w:bottom w:type="dxa" w:w="80"/>
              <w:right w:type="dxa" w:w="100"/>
            </w:tcMar>
            <w:vAlign w:val="center"/>
          </w:tcPr>
          <w:p>
            <w:r>
              <w:rPr>
                <w:b/>
                <w:bCs/>
                <w:color w:val="FFFFFF"/>
                <w:sz w:val="20"/>
                <w:szCs w:val="20"/>
              </w:rPr>
              <w:t xml:space="preserve">Khoảng cách đến Z (km)</w:t>
            </w:r>
          </w:p>
        </w:tc>
        <w:tc>
          <w:tcPr>
            <w:tcW w:type="dxa" w:w="2647"/>
            <w:shd w:fill="2E5395" w:val="clear"/>
            <w:tcMar>
              <w:top w:type="dxa" w:w="80"/>
              <w:left w:type="dxa" w:w="100"/>
              <w:bottom w:type="dxa" w:w="80"/>
              <w:right w:type="dxa" w:w="100"/>
            </w:tcMar>
            <w:vAlign w:val="center"/>
          </w:tcPr>
          <w:p>
            <w:r>
              <w:rPr>
                <w:b/>
                <w:bCs/>
                <w:color w:val="FFFFFF"/>
                <w:sz w:val="20"/>
                <w:szCs w:val="20"/>
              </w:rPr>
              <w:t xml:space="preserve">Tồn kho khả dụng (thùng)</w:t>
            </w:r>
          </w:p>
        </w:tc>
      </w:tr>
      <w:tr>
        <w:tc>
          <w:tcPr>
            <w:tcW w:type="dxa" w:w="1700"/>
            <w:tcMar>
              <w:top w:type="dxa" w:w="80"/>
              <w:left w:type="dxa" w:w="100"/>
              <w:bottom w:type="dxa" w:w="80"/>
              <w:right w:type="dxa" w:w="100"/>
            </w:tcMar>
            <w:vAlign w:val="center"/>
          </w:tcPr>
          <w:p>
            <w:r>
              <w:rPr>
                <w:sz w:val="20"/>
                <w:szCs w:val="20"/>
              </w:rPr>
              <w:t xml:space="preserve">A</w:t>
            </w:r>
          </w:p>
        </w:tc>
        <w:tc>
          <w:tcPr>
            <w:tcW w:type="dxa" w:w="2646"/>
            <w:tcMar>
              <w:top w:type="dxa" w:w="80"/>
              <w:left w:type="dxa" w:w="100"/>
              <w:bottom w:type="dxa" w:w="80"/>
              <w:right w:type="dxa" w:w="100"/>
            </w:tcMar>
            <w:vAlign w:val="center"/>
          </w:tcPr>
          <w:p>
            <w:r>
              <w:rPr>
                <w:sz w:val="20"/>
                <w:szCs w:val="20"/>
              </w:rPr>
              <w:t xml:space="preserve">45</w:t>
            </w:r>
          </w:p>
        </w:tc>
        <w:tc>
          <w:tcPr>
            <w:tcW w:type="dxa" w:w="2646"/>
            <w:tcMar>
              <w:top w:type="dxa" w:w="80"/>
              <w:left w:type="dxa" w:w="100"/>
              <w:bottom w:type="dxa" w:w="80"/>
              <w:right w:type="dxa" w:w="100"/>
            </w:tcMar>
            <w:vAlign w:val="center"/>
          </w:tcPr>
          <w:p>
            <w:r>
              <w:rPr>
                <w:sz w:val="20"/>
                <w:szCs w:val="20"/>
              </w:rPr>
              <w:t xml:space="preserve">15</w:t>
            </w:r>
          </w:p>
        </w:tc>
        <w:tc>
          <w:tcPr>
            <w:tcW w:type="dxa" w:w="2647"/>
            <w:tcMar>
              <w:top w:type="dxa" w:w="80"/>
              <w:left w:type="dxa" w:w="100"/>
              <w:bottom w:type="dxa" w:w="80"/>
              <w:right w:type="dxa" w:w="100"/>
            </w:tcMar>
            <w:vAlign w:val="center"/>
          </w:tcPr>
          <w:p>
            <w:r>
              <w:rPr>
                <w:sz w:val="20"/>
                <w:szCs w:val="20"/>
              </w:rPr>
              <w:t xml:space="preserve">800</w:t>
            </w:r>
          </w:p>
        </w:tc>
      </w:tr>
      <w:tr>
        <w:tc>
          <w:tcPr>
            <w:tcW w:type="dxa" w:w="1700"/>
            <w:tcMar>
              <w:top w:type="dxa" w:w="80"/>
              <w:left w:type="dxa" w:w="100"/>
              <w:bottom w:type="dxa" w:w="80"/>
              <w:right w:type="dxa" w:w="100"/>
            </w:tcMar>
            <w:vAlign w:val="center"/>
          </w:tcPr>
          <w:p>
            <w:r>
              <w:rPr>
                <w:sz w:val="20"/>
                <w:szCs w:val="20"/>
              </w:rPr>
              <w:t xml:space="preserve">B</w:t>
            </w:r>
          </w:p>
        </w:tc>
        <w:tc>
          <w:tcPr>
            <w:tcW w:type="dxa" w:w="2646"/>
            <w:tcMar>
              <w:top w:type="dxa" w:w="80"/>
              <w:left w:type="dxa" w:w="100"/>
              <w:bottom w:type="dxa" w:w="80"/>
              <w:right w:type="dxa" w:w="100"/>
            </w:tcMar>
            <w:vAlign w:val="center"/>
          </w:tcPr>
          <w:p>
            <w:r>
              <w:rPr>
                <w:sz w:val="20"/>
                <w:szCs w:val="20"/>
              </w:rPr>
              <w:t xml:space="preserve">12</w:t>
            </w:r>
          </w:p>
        </w:tc>
        <w:tc>
          <w:tcPr>
            <w:tcW w:type="dxa" w:w="2646"/>
            <w:tcMar>
              <w:top w:type="dxa" w:w="80"/>
              <w:left w:type="dxa" w:w="100"/>
              <w:bottom w:type="dxa" w:w="80"/>
              <w:right w:type="dxa" w:w="100"/>
            </w:tcMar>
            <w:vAlign w:val="center"/>
          </w:tcPr>
          <w:p>
            <w:r>
              <w:rPr>
                <w:sz w:val="20"/>
                <w:szCs w:val="20"/>
              </w:rPr>
              <w:t xml:space="preserve">5</w:t>
            </w:r>
          </w:p>
        </w:tc>
        <w:tc>
          <w:tcPr>
            <w:tcW w:type="dxa" w:w="2647"/>
            <w:tcMar>
              <w:top w:type="dxa" w:w="80"/>
              <w:left w:type="dxa" w:w="100"/>
              <w:bottom w:type="dxa" w:w="80"/>
              <w:right w:type="dxa" w:w="100"/>
            </w:tcMar>
            <w:vAlign w:val="center"/>
          </w:tcPr>
          <w:p>
            <w:r>
              <w:rPr>
                <w:sz w:val="20"/>
                <w:szCs w:val="20"/>
              </w:rPr>
              <w:t xml:space="preserve">1.200</w:t>
            </w:r>
          </w:p>
        </w:tc>
      </w:tr>
      <w:tr>
        <w:tc>
          <w:tcPr>
            <w:tcW w:type="dxa" w:w="1700"/>
            <w:tcMar>
              <w:top w:type="dxa" w:w="80"/>
              <w:left w:type="dxa" w:w="100"/>
              <w:bottom w:type="dxa" w:w="80"/>
              <w:right w:type="dxa" w:w="100"/>
            </w:tcMar>
            <w:vAlign w:val="center"/>
          </w:tcPr>
          <w:p>
            <w:r>
              <w:rPr>
                <w:sz w:val="20"/>
                <w:szCs w:val="20"/>
              </w:rPr>
              <w:t xml:space="preserve">C</w:t>
            </w:r>
          </w:p>
        </w:tc>
        <w:tc>
          <w:tcPr>
            <w:tcW w:type="dxa" w:w="2646"/>
            <w:tcMar>
              <w:top w:type="dxa" w:w="80"/>
              <w:left w:type="dxa" w:w="100"/>
              <w:bottom w:type="dxa" w:w="80"/>
              <w:right w:type="dxa" w:w="100"/>
            </w:tcMar>
            <w:vAlign w:val="center"/>
          </w:tcPr>
          <w:p>
            <w:r>
              <w:rPr>
                <w:sz w:val="20"/>
                <w:szCs w:val="20"/>
              </w:rPr>
              <w:t xml:space="preserve">25</w:t>
            </w:r>
          </w:p>
        </w:tc>
        <w:tc>
          <w:tcPr>
            <w:tcW w:type="dxa" w:w="2646"/>
            <w:tcMar>
              <w:top w:type="dxa" w:w="80"/>
              <w:left w:type="dxa" w:w="100"/>
              <w:bottom w:type="dxa" w:w="80"/>
              <w:right w:type="dxa" w:w="100"/>
            </w:tcMar>
            <w:vAlign w:val="center"/>
          </w:tcPr>
          <w:p>
            <w:r>
              <w:rPr>
                <w:sz w:val="20"/>
                <w:szCs w:val="20"/>
              </w:rPr>
              <w:t xml:space="preserve">40</w:t>
            </w:r>
          </w:p>
        </w:tc>
        <w:tc>
          <w:tcPr>
            <w:tcW w:type="dxa" w:w="2647"/>
            <w:tcMar>
              <w:top w:type="dxa" w:w="80"/>
              <w:left w:type="dxa" w:w="100"/>
              <w:bottom w:type="dxa" w:w="80"/>
              <w:right w:type="dxa" w:w="100"/>
            </w:tcMar>
            <w:vAlign w:val="center"/>
          </w:tcPr>
          <w:p>
            <w:r>
              <w:rPr>
                <w:sz w:val="20"/>
                <w:szCs w:val="20"/>
              </w:rPr>
              <w:t xml:space="preserve">600</w:t>
            </w:r>
          </w:p>
        </w:tc>
      </w:tr>
      <w:tr>
        <w:tc>
          <w:tcPr>
            <w:tcW w:type="dxa" w:w="1700"/>
            <w:tcMar>
              <w:top w:type="dxa" w:w="80"/>
              <w:left w:type="dxa" w:w="100"/>
              <w:bottom w:type="dxa" w:w="80"/>
              <w:right w:type="dxa" w:w="100"/>
            </w:tcMar>
            <w:vAlign w:val="center"/>
          </w:tcPr>
          <w:p>
            <w:r>
              <w:rPr>
                <w:sz w:val="20"/>
                <w:szCs w:val="20"/>
              </w:rPr>
              <w:t xml:space="preserve">D</w:t>
            </w:r>
          </w:p>
        </w:tc>
        <w:tc>
          <w:tcPr>
            <w:tcW w:type="dxa" w:w="2646"/>
            <w:tcMar>
              <w:top w:type="dxa" w:w="80"/>
              <w:left w:type="dxa" w:w="100"/>
              <w:bottom w:type="dxa" w:w="80"/>
              <w:right w:type="dxa" w:w="100"/>
            </w:tcMar>
            <w:vAlign w:val="center"/>
          </w:tcPr>
          <w:p>
            <w:r>
              <w:rPr>
                <w:sz w:val="20"/>
                <w:szCs w:val="20"/>
              </w:rPr>
              <w:t xml:space="preserve">30</w:t>
            </w:r>
          </w:p>
        </w:tc>
        <w:tc>
          <w:tcPr>
            <w:tcW w:type="dxa" w:w="2646"/>
            <w:tcMar>
              <w:top w:type="dxa" w:w="80"/>
              <w:left w:type="dxa" w:w="100"/>
              <w:bottom w:type="dxa" w:w="80"/>
              <w:right w:type="dxa" w:w="100"/>
            </w:tcMar>
            <w:vAlign w:val="center"/>
          </w:tcPr>
          <w:p>
            <w:r>
              <w:rPr>
                <w:sz w:val="20"/>
                <w:szCs w:val="20"/>
              </w:rPr>
              <w:t xml:space="preserve">60</w:t>
            </w:r>
          </w:p>
        </w:tc>
        <w:tc>
          <w:tcPr>
            <w:tcW w:type="dxa" w:w="2647"/>
            <w:tcMar>
              <w:top w:type="dxa" w:w="80"/>
              <w:left w:type="dxa" w:w="100"/>
              <w:bottom w:type="dxa" w:w="80"/>
              <w:right w:type="dxa" w:w="100"/>
            </w:tcMar>
            <w:vAlign w:val="center"/>
          </w:tcPr>
          <w:p>
            <w:r>
              <w:rPr>
                <w:sz w:val="20"/>
                <w:szCs w:val="20"/>
              </w:rPr>
              <w:t xml:space="preserve">1.000</w:t>
            </w:r>
          </w:p>
        </w:tc>
      </w:tr>
    </w:tbl>
    <w:p>
      <w:pPr>
        <w:spacing w:after="200"/>
      </w:pPr>
    </w:p>
    <w:p>
      <w:pPr>
        <w:pStyle w:val="Heading2"/>
        <w:spacing w:after="120" w:before="250"/>
      </w:pPr>
      <w:r>
        <w:t xml:space="preserve">Bước 1 — Lọc tập khả thi</w:t>
      </w:r>
    </w:p>
    <w:p>
      <w:pPr>
        <w:spacing w:after="120"/>
      </w:pPr>
      <w:r>
        <w:t xml:space="preserve">Ràng buộc: hạn dùng còn lại ≥ 20 ngày (yêu cầu của ORD-001).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700"/>
        <w:gridCol w:w="2646"/>
        <w:gridCol w:w="2646"/>
        <w:gridCol w:w="2647"/>
      </w:tblGrid>
      <w:tr>
        <w:trPr>
          <w:tblHeader/>
        </w:trPr>
        <w:tc>
          <w:tcPr>
            <w:tcW w:type="dxa" w:w="1700"/>
            <w:shd w:fill="2E5395" w:val="clear"/>
            <w:tcMar>
              <w:top w:type="dxa" w:w="80"/>
              <w:left w:type="dxa" w:w="100"/>
              <w:bottom w:type="dxa" w:w="80"/>
              <w:right w:type="dxa" w:w="100"/>
            </w:tcMar>
            <w:vAlign w:val="center"/>
          </w:tcPr>
          <w:p>
            <w:r>
              <w:rPr>
                <w:b/>
                <w:bCs/>
                <w:color w:val="FFFFFF"/>
                <w:sz w:val="20"/>
                <w:szCs w:val="20"/>
              </w:rPr>
              <w:t xml:space="preserve">Kho</w:t>
            </w:r>
          </w:p>
        </w:tc>
        <w:tc>
          <w:tcPr>
            <w:tcW w:type="dxa" w:w="2646"/>
            <w:shd w:fill="2E5395" w:val="clear"/>
            <w:tcMar>
              <w:top w:type="dxa" w:w="80"/>
              <w:left w:type="dxa" w:w="100"/>
              <w:bottom w:type="dxa" w:w="80"/>
              <w:right w:type="dxa" w:w="100"/>
            </w:tcMar>
            <w:vAlign w:val="center"/>
          </w:tcPr>
          <w:p>
            <w:r>
              <w:rPr>
                <w:b/>
                <w:bCs/>
                <w:color w:val="FFFFFF"/>
                <w:sz w:val="20"/>
                <w:szCs w:val="20"/>
              </w:rPr>
              <w:t xml:space="preserve">Hạn dùng còn lại</w:t>
            </w:r>
          </w:p>
        </w:tc>
        <w:tc>
          <w:tcPr>
            <w:tcW w:type="dxa" w:w="2646"/>
            <w:shd w:fill="2E5395" w:val="clear"/>
            <w:tcMar>
              <w:top w:type="dxa" w:w="80"/>
              <w:left w:type="dxa" w:w="100"/>
              <w:bottom w:type="dxa" w:w="80"/>
              <w:right w:type="dxa" w:w="100"/>
            </w:tcMar>
            <w:vAlign w:val="center"/>
          </w:tcPr>
          <w:p>
            <w:r>
              <w:rPr>
                <w:b/>
                <w:bCs/>
                <w:color w:val="FFFFFF"/>
                <w:sz w:val="20"/>
                <w:szCs w:val="20"/>
              </w:rPr>
              <w:t xml:space="preserve">So với ngưỡng 20 ngày</w:t>
            </w:r>
          </w:p>
        </w:tc>
        <w:tc>
          <w:tcPr>
            <w:tcW w:type="dxa" w:w="2647"/>
            <w:shd w:fill="2E5395" w:val="clear"/>
            <w:tcMar>
              <w:top w:type="dxa" w:w="80"/>
              <w:left w:type="dxa" w:w="100"/>
              <w:bottom w:type="dxa" w:w="80"/>
              <w:right w:type="dxa" w:w="100"/>
            </w:tcMar>
            <w:vAlign w:val="center"/>
          </w:tcPr>
          <w:p>
            <w:r>
              <w:rPr>
                <w:b/>
                <w:bCs/>
                <w:color w:val="FFFFFF"/>
                <w:sz w:val="20"/>
                <w:szCs w:val="20"/>
              </w:rPr>
              <w:t xml:space="preserve">Kết quả</w:t>
            </w:r>
          </w:p>
        </w:tc>
      </w:tr>
      <w:tr>
        <w:tc>
          <w:tcPr>
            <w:tcW w:type="dxa" w:w="1700"/>
            <w:tcMar>
              <w:top w:type="dxa" w:w="80"/>
              <w:left w:type="dxa" w:w="100"/>
              <w:bottom w:type="dxa" w:w="80"/>
              <w:right w:type="dxa" w:w="100"/>
            </w:tcMar>
            <w:vAlign w:val="center"/>
          </w:tcPr>
          <w:p>
            <w:r>
              <w:rPr>
                <w:sz w:val="20"/>
                <w:szCs w:val="20"/>
              </w:rPr>
              <w:t xml:space="preserve">A</w:t>
            </w:r>
          </w:p>
        </w:tc>
        <w:tc>
          <w:tcPr>
            <w:tcW w:type="dxa" w:w="2646"/>
            <w:tcMar>
              <w:top w:type="dxa" w:w="80"/>
              <w:left w:type="dxa" w:w="100"/>
              <w:bottom w:type="dxa" w:w="80"/>
              <w:right w:type="dxa" w:w="100"/>
            </w:tcMar>
            <w:vAlign w:val="center"/>
          </w:tcPr>
          <w:p>
            <w:r>
              <w:rPr>
                <w:sz w:val="20"/>
                <w:szCs w:val="20"/>
              </w:rPr>
              <w:t xml:space="preserve">45 ngày</w:t>
            </w:r>
          </w:p>
        </w:tc>
        <w:tc>
          <w:tcPr>
            <w:tcW w:type="dxa" w:w="2646"/>
            <w:tcMar>
              <w:top w:type="dxa" w:w="80"/>
              <w:left w:type="dxa" w:w="100"/>
              <w:bottom w:type="dxa" w:w="80"/>
              <w:right w:type="dxa" w:w="100"/>
            </w:tcMar>
            <w:vAlign w:val="center"/>
          </w:tcPr>
          <w:p>
            <w:r>
              <w:rPr>
                <w:sz w:val="20"/>
                <w:szCs w:val="20"/>
              </w:rPr>
              <w:t xml:space="preserve">45 ≥ 20</w:t>
            </w:r>
          </w:p>
        </w:tc>
        <w:tc>
          <w:tcPr>
            <w:tcW w:type="dxa" w:w="2647"/>
            <w:tcMar>
              <w:top w:type="dxa" w:w="80"/>
              <w:left w:type="dxa" w:w="100"/>
              <w:bottom w:type="dxa" w:w="80"/>
              <w:right w:type="dxa" w:w="100"/>
            </w:tcMar>
            <w:vAlign w:val="center"/>
          </w:tcPr>
          <w:p>
            <w:r>
              <w:rPr>
                <w:b/>
                <w:bCs/>
                <w:color w:val="1E7B34"/>
              </w:rPr>
              <w:t xml:space="preserve">✔ Giữ lại</w:t>
            </w:r>
          </w:p>
        </w:tc>
      </w:tr>
      <w:tr>
        <w:tc>
          <w:tcPr>
            <w:tcW w:type="dxa" w:w="1700"/>
            <w:tcMar>
              <w:top w:type="dxa" w:w="80"/>
              <w:left w:type="dxa" w:w="100"/>
              <w:bottom w:type="dxa" w:w="80"/>
              <w:right w:type="dxa" w:w="100"/>
            </w:tcMar>
            <w:vAlign w:val="center"/>
          </w:tcPr>
          <w:p>
            <w:r>
              <w:rPr>
                <w:sz w:val="20"/>
                <w:szCs w:val="20"/>
              </w:rPr>
              <w:t xml:space="preserve">B</w:t>
            </w:r>
          </w:p>
        </w:tc>
        <w:tc>
          <w:tcPr>
            <w:tcW w:type="dxa" w:w="2646"/>
            <w:tcMar>
              <w:top w:type="dxa" w:w="80"/>
              <w:left w:type="dxa" w:w="100"/>
              <w:bottom w:type="dxa" w:w="80"/>
              <w:right w:type="dxa" w:w="100"/>
            </w:tcMar>
            <w:vAlign w:val="center"/>
          </w:tcPr>
          <w:p>
            <w:r>
              <w:rPr>
                <w:sz w:val="20"/>
                <w:szCs w:val="20"/>
              </w:rPr>
              <w:t xml:space="preserve">12 ngày</w:t>
            </w:r>
          </w:p>
        </w:tc>
        <w:tc>
          <w:tcPr>
            <w:tcW w:type="dxa" w:w="2646"/>
            <w:tcMar>
              <w:top w:type="dxa" w:w="80"/>
              <w:left w:type="dxa" w:w="100"/>
              <w:bottom w:type="dxa" w:w="80"/>
              <w:right w:type="dxa" w:w="100"/>
            </w:tcMar>
            <w:vAlign w:val="center"/>
          </w:tcPr>
          <w:p>
            <w:r>
              <w:rPr>
                <w:sz w:val="20"/>
                <w:szCs w:val="20"/>
              </w:rPr>
              <w:t xml:space="preserve">12 &lt; 20</w:t>
            </w:r>
          </w:p>
        </w:tc>
        <w:tc>
          <w:tcPr>
            <w:tcW w:type="dxa" w:w="2647"/>
            <w:tcMar>
              <w:top w:type="dxa" w:w="80"/>
              <w:left w:type="dxa" w:w="100"/>
              <w:bottom w:type="dxa" w:w="80"/>
              <w:right w:type="dxa" w:w="100"/>
            </w:tcMar>
            <w:vAlign w:val="center"/>
          </w:tcPr>
          <w:p>
            <w:r>
              <w:rPr>
                <w:b/>
                <w:bCs/>
                <w:color w:val="B00000"/>
              </w:rPr>
              <w:t xml:space="preserve">✘ Loại</w:t>
            </w:r>
          </w:p>
        </w:tc>
      </w:tr>
      <w:tr>
        <w:tc>
          <w:tcPr>
            <w:tcW w:type="dxa" w:w="1700"/>
            <w:tcMar>
              <w:top w:type="dxa" w:w="80"/>
              <w:left w:type="dxa" w:w="100"/>
              <w:bottom w:type="dxa" w:w="80"/>
              <w:right w:type="dxa" w:w="100"/>
            </w:tcMar>
            <w:vAlign w:val="center"/>
          </w:tcPr>
          <w:p>
            <w:r>
              <w:rPr>
                <w:sz w:val="20"/>
                <w:szCs w:val="20"/>
              </w:rPr>
              <w:t xml:space="preserve">C</w:t>
            </w:r>
          </w:p>
        </w:tc>
        <w:tc>
          <w:tcPr>
            <w:tcW w:type="dxa" w:w="2646"/>
            <w:tcMar>
              <w:top w:type="dxa" w:w="80"/>
              <w:left w:type="dxa" w:w="100"/>
              <w:bottom w:type="dxa" w:w="80"/>
              <w:right w:type="dxa" w:w="100"/>
            </w:tcMar>
            <w:vAlign w:val="center"/>
          </w:tcPr>
          <w:p>
            <w:r>
              <w:rPr>
                <w:sz w:val="20"/>
                <w:szCs w:val="20"/>
              </w:rPr>
              <w:t xml:space="preserve">25 ngày</w:t>
            </w:r>
          </w:p>
        </w:tc>
        <w:tc>
          <w:tcPr>
            <w:tcW w:type="dxa" w:w="2646"/>
            <w:tcMar>
              <w:top w:type="dxa" w:w="80"/>
              <w:left w:type="dxa" w:w="100"/>
              <w:bottom w:type="dxa" w:w="80"/>
              <w:right w:type="dxa" w:w="100"/>
            </w:tcMar>
            <w:vAlign w:val="center"/>
          </w:tcPr>
          <w:p>
            <w:r>
              <w:rPr>
                <w:sz w:val="20"/>
                <w:szCs w:val="20"/>
              </w:rPr>
              <w:t xml:space="preserve">25 ≥ 20</w:t>
            </w:r>
          </w:p>
        </w:tc>
        <w:tc>
          <w:tcPr>
            <w:tcW w:type="dxa" w:w="2647"/>
            <w:tcMar>
              <w:top w:type="dxa" w:w="80"/>
              <w:left w:type="dxa" w:w="100"/>
              <w:bottom w:type="dxa" w:w="80"/>
              <w:right w:type="dxa" w:w="100"/>
            </w:tcMar>
            <w:vAlign w:val="center"/>
          </w:tcPr>
          <w:p>
            <w:r>
              <w:rPr>
                <w:b/>
                <w:bCs/>
                <w:color w:val="1E7B34"/>
              </w:rPr>
              <w:t xml:space="preserve">✔ Giữ lại</w:t>
            </w:r>
          </w:p>
        </w:tc>
      </w:tr>
      <w:tr>
        <w:tc>
          <w:tcPr>
            <w:tcW w:type="dxa" w:w="1700"/>
            <w:tcMar>
              <w:top w:type="dxa" w:w="80"/>
              <w:left w:type="dxa" w:w="100"/>
              <w:bottom w:type="dxa" w:w="80"/>
              <w:right w:type="dxa" w:w="100"/>
            </w:tcMar>
            <w:vAlign w:val="center"/>
          </w:tcPr>
          <w:p>
            <w:r>
              <w:rPr>
                <w:sz w:val="20"/>
                <w:szCs w:val="20"/>
              </w:rPr>
              <w:t xml:space="preserve">D</w:t>
            </w:r>
          </w:p>
        </w:tc>
        <w:tc>
          <w:tcPr>
            <w:tcW w:type="dxa" w:w="2646"/>
            <w:tcMar>
              <w:top w:type="dxa" w:w="80"/>
              <w:left w:type="dxa" w:w="100"/>
              <w:bottom w:type="dxa" w:w="80"/>
              <w:right w:type="dxa" w:w="100"/>
            </w:tcMar>
            <w:vAlign w:val="center"/>
          </w:tcPr>
          <w:p>
            <w:r>
              <w:rPr>
                <w:sz w:val="20"/>
                <w:szCs w:val="20"/>
              </w:rPr>
              <w:t xml:space="preserve">30 ngày</w:t>
            </w:r>
          </w:p>
        </w:tc>
        <w:tc>
          <w:tcPr>
            <w:tcW w:type="dxa" w:w="2646"/>
            <w:tcMar>
              <w:top w:type="dxa" w:w="80"/>
              <w:left w:type="dxa" w:w="100"/>
              <w:bottom w:type="dxa" w:w="80"/>
              <w:right w:type="dxa" w:w="100"/>
            </w:tcMar>
            <w:vAlign w:val="center"/>
          </w:tcPr>
          <w:p>
            <w:r>
              <w:rPr>
                <w:sz w:val="20"/>
                <w:szCs w:val="20"/>
              </w:rPr>
              <w:t xml:space="preserve">30 ≥ 20</w:t>
            </w:r>
          </w:p>
        </w:tc>
        <w:tc>
          <w:tcPr>
            <w:tcW w:type="dxa" w:w="2647"/>
            <w:tcMar>
              <w:top w:type="dxa" w:w="80"/>
              <w:left w:type="dxa" w:w="100"/>
              <w:bottom w:type="dxa" w:w="80"/>
              <w:right w:type="dxa" w:w="100"/>
            </w:tcMar>
            <w:vAlign w:val="center"/>
          </w:tcPr>
          <w:p>
            <w:r>
              <w:rPr>
                <w:b/>
                <w:bCs/>
                <w:color w:val="1E7B34"/>
              </w:rPr>
              <w:t xml:space="preserve">✔ Giữ lại</w:t>
            </w:r>
          </w:p>
        </w:tc>
      </w:tr>
    </w:tbl>
    <w:p>
      <w:pPr>
        <w:spacing w:after="200" w:before="100"/>
      </w:pPr>
      <w:r>
        <w:rPr>
          <w:i/>
          <w:iCs/>
        </w:rPr>
        <w:t xml:space="preserve">→ Kho B bị loại ngay từ đầu, dù gần điểm giao nhất (5km) và tồn kho nhiều nhất (1.200 thùng) — vì hàng ở B chỉ còn 12 ngày, không đáp ứng yêu cầu tối thiểu 20 ngày của đơn hàng. Tập khả thi còn lại: {A, C, D}.</w:t>
      </w:r>
    </w:p>
    <w:p>
      <w:pPr>
        <w:pStyle w:val="Heading2"/>
        <w:spacing w:after="120" w:before="250"/>
      </w:pPr>
      <w:r>
        <w:t xml:space="preserve">Bước 2 — Chấm điểm trọng số trong tập {A, C, D}</w:t>
      </w:r>
    </w:p>
    <w:p>
      <w:pPr>
        <w:spacing w:after="120"/>
      </w:pPr>
      <w:r>
        <w:t xml:space="preserve">Chọn trọng số minh họa: w1 = 0,5 (FEFO) · w2 = 0,3 (khoảng cách) · w3 = 0,2 (tồn kho). Mỗi chỉ số được chuẩn hóa về thang 0–1 bằng công thức min-max trong tập khả thi (giá trị tốt nhất → 1, xấu nhất → 0).</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339"/>
        <w:gridCol w:w="2075"/>
        <w:gridCol w:w="2075"/>
        <w:gridCol w:w="2075"/>
        <w:gridCol w:w="2075"/>
      </w:tblGrid>
      <w:tr>
        <w:trPr>
          <w:tblHeader/>
        </w:trPr>
        <w:tc>
          <w:tcPr>
            <w:tcW w:type="dxa" w:w="1339"/>
            <w:shd w:fill="2E5395" w:val="clear"/>
            <w:tcMar>
              <w:top w:type="dxa" w:w="80"/>
              <w:left w:type="dxa" w:w="100"/>
              <w:bottom w:type="dxa" w:w="80"/>
              <w:right w:type="dxa" w:w="100"/>
            </w:tcMar>
            <w:vAlign w:val="center"/>
          </w:tcPr>
          <w:p>
            <w:r>
              <w:rPr>
                <w:b/>
                <w:bCs/>
                <w:color w:val="FFFFFF"/>
                <w:sz w:val="20"/>
                <w:szCs w:val="20"/>
              </w:rPr>
              <w:t xml:space="preserve">Kho</w:t>
            </w:r>
          </w:p>
        </w:tc>
        <w:tc>
          <w:tcPr>
            <w:tcW w:type="dxa" w:w="2075"/>
            <w:shd w:fill="2E5395" w:val="clear"/>
            <w:tcMar>
              <w:top w:type="dxa" w:w="80"/>
              <w:left w:type="dxa" w:w="100"/>
              <w:bottom w:type="dxa" w:w="80"/>
              <w:right w:type="dxa" w:w="100"/>
            </w:tcMar>
            <w:vAlign w:val="center"/>
          </w:tcPr>
          <w:p>
            <w:r>
              <w:rPr>
                <w:b/>
                <w:bCs/>
                <w:color w:val="FFFFFF"/>
                <w:sz w:val="20"/>
                <w:szCs w:val="20"/>
              </w:rPr>
              <w:t xml:space="preserve">FEFO chuẩn hóa</w:t>
            </w:r>
            <w:r>
              <w:br/>
              <w:t xml:space="preserve"/>
            </w:r>
            <w:r>
              <w:rPr>
                <w:b/>
                <w:bCs/>
                <w:color w:val="FFFFFF"/>
                <w:sz w:val="20"/>
                <w:szCs w:val="20"/>
              </w:rPr>
              <w:t xml:space="preserve">(hạn càng ngắn càng cao)</w:t>
            </w:r>
          </w:p>
        </w:tc>
        <w:tc>
          <w:tcPr>
            <w:tcW w:type="dxa" w:w="2075"/>
            <w:shd w:fill="2E5395" w:val="clear"/>
            <w:tcMar>
              <w:top w:type="dxa" w:w="80"/>
              <w:left w:type="dxa" w:w="100"/>
              <w:bottom w:type="dxa" w:w="80"/>
              <w:right w:type="dxa" w:w="100"/>
            </w:tcMar>
            <w:vAlign w:val="center"/>
          </w:tcPr>
          <w:p>
            <w:r>
              <w:rPr>
                <w:b/>
                <w:bCs/>
                <w:color w:val="FFFFFF"/>
                <w:sz w:val="20"/>
                <w:szCs w:val="20"/>
              </w:rPr>
              <w:t xml:space="preserve">Khoảng cách chuẩn hóa</w:t>
            </w:r>
            <w:r>
              <w:br/>
              <w:t xml:space="preserve"/>
            </w:r>
            <w:r>
              <w:rPr>
                <w:b/>
                <w:bCs/>
                <w:color w:val="FFFFFF"/>
                <w:sz w:val="20"/>
                <w:szCs w:val="20"/>
              </w:rPr>
              <w:t xml:space="preserve">(càng gần càng cao)</w:t>
            </w:r>
          </w:p>
        </w:tc>
        <w:tc>
          <w:tcPr>
            <w:tcW w:type="dxa" w:w="2075"/>
            <w:shd w:fill="2E5395" w:val="clear"/>
            <w:tcMar>
              <w:top w:type="dxa" w:w="80"/>
              <w:left w:type="dxa" w:w="100"/>
              <w:bottom w:type="dxa" w:w="80"/>
              <w:right w:type="dxa" w:w="100"/>
            </w:tcMar>
            <w:vAlign w:val="center"/>
          </w:tcPr>
          <w:p>
            <w:r>
              <w:rPr>
                <w:b/>
                <w:bCs/>
                <w:color w:val="FFFFFF"/>
                <w:sz w:val="20"/>
                <w:szCs w:val="20"/>
              </w:rPr>
              <w:t xml:space="preserve">Tồn kho chuẩn hóa</w:t>
            </w:r>
            <w:r>
              <w:br/>
              <w:t xml:space="preserve"/>
            </w:r>
            <w:r>
              <w:rPr>
                <w:b/>
                <w:bCs/>
                <w:color w:val="FFFFFF"/>
                <w:sz w:val="20"/>
                <w:szCs w:val="20"/>
              </w:rPr>
              <w:t xml:space="preserve">(càng nhiều càng cao)</w:t>
            </w:r>
          </w:p>
        </w:tc>
        <w:tc>
          <w:tcPr>
            <w:tcW w:type="dxa" w:w="2075"/>
            <w:shd w:fill="2E5395" w:val="clear"/>
            <w:tcMar>
              <w:top w:type="dxa" w:w="80"/>
              <w:left w:type="dxa" w:w="100"/>
              <w:bottom w:type="dxa" w:w="80"/>
              <w:right w:type="dxa" w:w="100"/>
            </w:tcMar>
            <w:vAlign w:val="center"/>
          </w:tcPr>
          <w:p>
            <w:r>
              <w:rPr>
                <w:b/>
                <w:bCs/>
                <w:color w:val="FFFFFF"/>
                <w:sz w:val="20"/>
                <w:szCs w:val="20"/>
              </w:rPr>
              <w:t xml:space="preserve">Score = 0,5·F + 0,3·K + 0,2·T</w:t>
            </w:r>
          </w:p>
        </w:tc>
      </w:tr>
      <w:tr>
        <w:tc>
          <w:tcPr>
            <w:tcW w:type="dxa" w:w="1339"/>
            <w:tcMar>
              <w:top w:type="dxa" w:w="80"/>
              <w:left w:type="dxa" w:w="100"/>
              <w:bottom w:type="dxa" w:w="80"/>
              <w:right w:type="dxa" w:w="100"/>
            </w:tcMar>
            <w:vAlign w:val="center"/>
          </w:tcPr>
          <w:p>
            <w:r>
              <w:rPr>
                <w:sz w:val="20"/>
                <w:szCs w:val="20"/>
              </w:rPr>
              <w:t xml:space="preserve">A</w:t>
            </w:r>
          </w:p>
        </w:tc>
        <w:tc>
          <w:tcPr>
            <w:tcW w:type="dxa" w:w="2075"/>
            <w:tcMar>
              <w:top w:type="dxa" w:w="80"/>
              <w:left w:type="dxa" w:w="100"/>
              <w:bottom w:type="dxa" w:w="80"/>
              <w:right w:type="dxa" w:w="100"/>
            </w:tcMar>
            <w:vAlign w:val="center"/>
          </w:tcPr>
          <w:p>
            <w:r>
              <w:rPr>
                <w:sz w:val="20"/>
                <w:szCs w:val="20"/>
              </w:rPr>
              <w:t xml:space="preserve">0,00</w:t>
            </w:r>
          </w:p>
        </w:tc>
        <w:tc>
          <w:tcPr>
            <w:tcW w:type="dxa" w:w="2075"/>
            <w:tcMar>
              <w:top w:type="dxa" w:w="80"/>
              <w:left w:type="dxa" w:w="100"/>
              <w:bottom w:type="dxa" w:w="80"/>
              <w:right w:type="dxa" w:w="100"/>
            </w:tcMar>
            <w:vAlign w:val="center"/>
          </w:tcPr>
          <w:p>
            <w:r>
              <w:rPr>
                <w:sz w:val="20"/>
                <w:szCs w:val="20"/>
              </w:rPr>
              <w:t xml:space="preserve">1,00</w:t>
            </w:r>
          </w:p>
        </w:tc>
        <w:tc>
          <w:tcPr>
            <w:tcW w:type="dxa" w:w="2075"/>
            <w:tcMar>
              <w:top w:type="dxa" w:w="80"/>
              <w:left w:type="dxa" w:w="100"/>
              <w:bottom w:type="dxa" w:w="80"/>
              <w:right w:type="dxa" w:w="100"/>
            </w:tcMar>
            <w:vAlign w:val="center"/>
          </w:tcPr>
          <w:p>
            <w:r>
              <w:rPr>
                <w:sz w:val="20"/>
                <w:szCs w:val="20"/>
              </w:rPr>
              <w:t xml:space="preserve">0,50</w:t>
            </w:r>
          </w:p>
        </w:tc>
        <w:tc>
          <w:tcPr>
            <w:tcW w:type="dxa" w:w="2075"/>
            <w:tcMar>
              <w:top w:type="dxa" w:w="80"/>
              <w:left w:type="dxa" w:w="100"/>
              <w:bottom w:type="dxa" w:w="80"/>
              <w:right w:type="dxa" w:w="100"/>
            </w:tcMar>
            <w:vAlign w:val="center"/>
          </w:tcPr>
          <w:p>
            <w:r>
              <w:rPr>
                <w:sz w:val="20"/>
                <w:szCs w:val="20"/>
              </w:rPr>
              <w:t xml:space="preserve">0,40</w:t>
            </w:r>
          </w:p>
        </w:tc>
      </w:tr>
      <w:tr>
        <w:tc>
          <w:tcPr>
            <w:tcW w:type="dxa" w:w="1339"/>
            <w:tcMar>
              <w:top w:type="dxa" w:w="80"/>
              <w:left w:type="dxa" w:w="100"/>
              <w:bottom w:type="dxa" w:w="80"/>
              <w:right w:type="dxa" w:w="100"/>
            </w:tcMar>
            <w:vAlign w:val="center"/>
          </w:tcPr>
          <w:p>
            <w:r>
              <w:rPr>
                <w:sz w:val="20"/>
                <w:szCs w:val="20"/>
              </w:rPr>
              <w:t xml:space="preserve">C</w:t>
            </w:r>
          </w:p>
        </w:tc>
        <w:tc>
          <w:tcPr>
            <w:tcW w:type="dxa" w:w="2075"/>
            <w:tcMar>
              <w:top w:type="dxa" w:w="80"/>
              <w:left w:type="dxa" w:w="100"/>
              <w:bottom w:type="dxa" w:w="80"/>
              <w:right w:type="dxa" w:w="100"/>
            </w:tcMar>
            <w:vAlign w:val="center"/>
          </w:tcPr>
          <w:p>
            <w:r>
              <w:rPr>
                <w:sz w:val="20"/>
                <w:szCs w:val="20"/>
              </w:rPr>
              <w:t xml:space="preserve">1,00</w:t>
            </w:r>
          </w:p>
        </w:tc>
        <w:tc>
          <w:tcPr>
            <w:tcW w:type="dxa" w:w="2075"/>
            <w:tcMar>
              <w:top w:type="dxa" w:w="80"/>
              <w:left w:type="dxa" w:w="100"/>
              <w:bottom w:type="dxa" w:w="80"/>
              <w:right w:type="dxa" w:w="100"/>
            </w:tcMar>
            <w:vAlign w:val="center"/>
          </w:tcPr>
          <w:p>
            <w:r>
              <w:rPr>
                <w:sz w:val="20"/>
                <w:szCs w:val="20"/>
              </w:rPr>
              <w:t xml:space="preserve">0,44</w:t>
            </w:r>
          </w:p>
        </w:tc>
        <w:tc>
          <w:tcPr>
            <w:tcW w:type="dxa" w:w="2075"/>
            <w:tcMar>
              <w:top w:type="dxa" w:w="80"/>
              <w:left w:type="dxa" w:w="100"/>
              <w:bottom w:type="dxa" w:w="80"/>
              <w:right w:type="dxa" w:w="100"/>
            </w:tcMar>
            <w:vAlign w:val="center"/>
          </w:tcPr>
          <w:p>
            <w:r>
              <w:rPr>
                <w:sz w:val="20"/>
                <w:szCs w:val="20"/>
              </w:rPr>
              <w:t xml:space="preserve">0,00</w:t>
            </w:r>
          </w:p>
        </w:tc>
        <w:tc>
          <w:tcPr>
            <w:tcW w:type="dxa" w:w="2075"/>
            <w:tcMar>
              <w:top w:type="dxa" w:w="80"/>
              <w:left w:type="dxa" w:w="100"/>
              <w:bottom w:type="dxa" w:w="80"/>
              <w:right w:type="dxa" w:w="100"/>
            </w:tcMar>
            <w:vAlign w:val="center"/>
          </w:tcPr>
          <w:p>
            <w:r>
              <w:rPr>
                <w:b/>
                <w:bCs/>
                <w:sz w:val="20"/>
                <w:szCs w:val="20"/>
              </w:rPr>
              <w:t xml:space="preserve">0,63</w:t>
            </w:r>
          </w:p>
        </w:tc>
      </w:tr>
      <w:tr>
        <w:tc>
          <w:tcPr>
            <w:tcW w:type="dxa" w:w="1339"/>
            <w:tcMar>
              <w:top w:type="dxa" w:w="80"/>
              <w:left w:type="dxa" w:w="100"/>
              <w:bottom w:type="dxa" w:w="80"/>
              <w:right w:type="dxa" w:w="100"/>
            </w:tcMar>
            <w:vAlign w:val="center"/>
          </w:tcPr>
          <w:p>
            <w:r>
              <w:rPr>
                <w:sz w:val="20"/>
                <w:szCs w:val="20"/>
              </w:rPr>
              <w:t xml:space="preserve">D</w:t>
            </w:r>
          </w:p>
        </w:tc>
        <w:tc>
          <w:tcPr>
            <w:tcW w:type="dxa" w:w="2075"/>
            <w:tcMar>
              <w:top w:type="dxa" w:w="80"/>
              <w:left w:type="dxa" w:w="100"/>
              <w:bottom w:type="dxa" w:w="80"/>
              <w:right w:type="dxa" w:w="100"/>
            </w:tcMar>
            <w:vAlign w:val="center"/>
          </w:tcPr>
          <w:p>
            <w:r>
              <w:rPr>
                <w:sz w:val="20"/>
                <w:szCs w:val="20"/>
              </w:rPr>
              <w:t xml:space="preserve">0,75</w:t>
            </w:r>
          </w:p>
        </w:tc>
        <w:tc>
          <w:tcPr>
            <w:tcW w:type="dxa" w:w="2075"/>
            <w:tcMar>
              <w:top w:type="dxa" w:w="80"/>
              <w:left w:type="dxa" w:w="100"/>
              <w:bottom w:type="dxa" w:w="80"/>
              <w:right w:type="dxa" w:w="100"/>
            </w:tcMar>
            <w:vAlign w:val="center"/>
          </w:tcPr>
          <w:p>
            <w:r>
              <w:rPr>
                <w:sz w:val="20"/>
                <w:szCs w:val="20"/>
              </w:rPr>
              <w:t xml:space="preserve">0,00</w:t>
            </w:r>
          </w:p>
        </w:tc>
        <w:tc>
          <w:tcPr>
            <w:tcW w:type="dxa" w:w="2075"/>
            <w:tcMar>
              <w:top w:type="dxa" w:w="80"/>
              <w:left w:type="dxa" w:w="100"/>
              <w:bottom w:type="dxa" w:w="80"/>
              <w:right w:type="dxa" w:w="100"/>
            </w:tcMar>
            <w:vAlign w:val="center"/>
          </w:tcPr>
          <w:p>
            <w:r>
              <w:rPr>
                <w:sz w:val="20"/>
                <w:szCs w:val="20"/>
              </w:rPr>
              <w:t xml:space="preserve">1,00</w:t>
            </w:r>
          </w:p>
        </w:tc>
        <w:tc>
          <w:tcPr>
            <w:tcW w:type="dxa" w:w="2075"/>
            <w:tcMar>
              <w:top w:type="dxa" w:w="80"/>
              <w:left w:type="dxa" w:w="100"/>
              <w:bottom w:type="dxa" w:w="80"/>
              <w:right w:type="dxa" w:w="100"/>
            </w:tcMar>
            <w:vAlign w:val="center"/>
          </w:tcPr>
          <w:p>
            <w:r>
              <w:rPr>
                <w:sz w:val="20"/>
                <w:szCs w:val="20"/>
              </w:rPr>
              <w:t xml:space="preserve">0,58</w:t>
            </w:r>
          </w:p>
        </w:tc>
      </w:tr>
    </w:tbl>
    <w:p>
      <w:pPr>
        <w:spacing w:after="100" w:before="100"/>
      </w:pPr>
      <w:r>
        <w:rPr>
          <w:i/>
          <w:iCs/>
        </w:rPr>
        <w:t xml:space="preserve">→ Xếp hạng: C (0,63) &gt; D (0,58) &gt; A (0,40). Vì C chỉ có 600 thùng (&lt; 1.000 cần), hệ thống lấy hết 600 thùng từ C, rồi lấy tiếp 400 thùng còn thiếu từ D (điểm cao thứ nhì). Kho A hoàn toàn không được dùng cho đơn này.</w:t>
      </w:r>
    </w:p>
    <w:p>
      <w:pPr>
        <w:shd w:fill="F2F2F2" w:val="clear"/>
        <w:spacing w:after="200" w:before="100"/>
      </w:pPr>
      <w:r>
        <w:rPr>
          <w:b/>
          <w:bCs/>
          <w:color w:val="2E5395"/>
        </w:rPr>
        <w:t xml:space="preserve">💡 Lưu ý sư phạm: </w:t>
      </w:r>
      <w:r>
        <w:t xml:space="preserve">Kho A gần điểm giao nhất (15km) nhưng KHÔNG được chọn, vì hàng ở A còn quá tươi (45 ngày) so với mức đơn hàng chỉ cần (20 ngày) — thuật toán chủ động "để dành" hàng tươi này cho các đơn khác có yêu cầu khắt khe hơn về sau, tránh lãng phí độ tươi. Đây chính là điểm khác biệt so với cách làm ngây thơ "luôn chọn kho gần nhất".</w:t>
      </w:r>
    </w:p>
    <w:p>
      <w:pPr>
        <w:pStyle w:val="Heading2"/>
        <w:spacing w:after="120" w:before="250"/>
      </w:pPr>
      <w:r>
        <w:t xml:space="preserve">Bước 3 — Fallback: khi có 2 đơn hàng cạnh tranh cùng lúc</w:t>
      </w:r>
    </w:p>
    <w:p>
      <w:pPr>
        <w:spacing w:after="120"/>
      </w:pPr>
      <w:r>
        <w:t xml:space="preserve">Giả sử cùng thời điểm phát sinh thêm đơn ORD-002, cũng cần hàng Y nhưng yêu cầu hạn dùng còn lại tối thiểu 35 ngày (khắt khe hơn ORD-001).</w:t>
      </w:r>
    </w:p>
    <w:p>
      <w:pPr>
        <w:pStyle w:val="ListParagraph"/>
        <w:numPr>
          <w:ilvl w:val="0"/>
          <w:numId w:val="2"/>
        </w:numPr>
        <w:spacing w:after="80"/>
      </w:pPr>
      <w:r>
        <w:t xml:space="preserve">Lọc theo ràng buộc 35 ngày: chỉ Kho A (45 ngày) đạt; B, C, D đều bị loại (12, 25, 30 ngày đều &lt; 35). </w:t>
      </w:r>
      <w:r>
        <w:rPr>
          <w:b/>
          <w:bCs/>
        </w:rPr>
        <w:t xml:space="preserve">→ Tập khả thi của ORD-002 chỉ có {A}</w:t>
      </w:r>
      <w:r>
        <w:t xml:space="preserve">.</w:t>
      </w:r>
    </w:p>
    <w:p>
      <w:pPr>
        <w:pStyle w:val="ListParagraph"/>
        <w:numPr>
          <w:ilvl w:val="0"/>
          <w:numId w:val="2"/>
        </w:numPr>
        <w:spacing w:after="80"/>
      </w:pPr>
      <w:r>
        <w:t xml:space="preserve">Trong khi đó tập khả thi của ORD-001 (ngưỡng 20 ngày) rộng hơn: {A, C, D}.</w:t>
      </w:r>
    </w:p>
    <w:p>
      <w:pPr>
        <w:spacing w:after="100" w:before="100"/>
      </w:pPr>
      <w:r>
        <w:rPr>
          <w:i/>
          <w:iCs/>
        </w:rPr>
        <w:t xml:space="preserve">→ Theo nguyên tắc sequential rationing: đơn có tập khả thi hẹp hơn (ORD-002, chỉ có 1 lựa chọn) phải được xử lý/giữ chỗ TRƯỚC đơn có tập khả thi rộng hơn (ORD-001, có 3 lựa chọn). Nếu xử lý ngược lại — để ORD-001 dùng hết kho A trước — thì ORD-002 sẽ không còn kho nào đáp ứng được, dẫn đến shortage đáng lẽ có thể tránh được.</w:t>
      </w:r>
    </w:p>
    <w:p>
      <w:pPr>
        <w:pStyle w:val="Heading1"/>
        <w:spacing w:after="150" w:before="300"/>
      </w:pPr>
      <w:r>
        <w:t xml:space="preserve">5. Bảng tổng hợp trích dẫn theo từng bước thuật toán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200"/>
        <w:gridCol w:w="4739"/>
        <w:gridCol w:w="2700"/>
      </w:tblGrid>
      <w:tr>
        <w:trPr>
          <w:tblHeader/>
        </w:trPr>
        <w:tc>
          <w:tcPr>
            <w:tcW w:type="dxa" w:w="2200"/>
            <w:shd w:fill="2E5395" w:val="clear"/>
            <w:tcMar>
              <w:top w:type="dxa" w:w="80"/>
              <w:left w:type="dxa" w:w="100"/>
              <w:bottom w:type="dxa" w:w="80"/>
              <w:right w:type="dxa" w:w="100"/>
            </w:tcMar>
            <w:vAlign w:val="center"/>
          </w:tcPr>
          <w:p>
            <w:r>
              <w:rPr>
                <w:b/>
                <w:bCs/>
                <w:color w:val="FFFFFF"/>
                <w:sz w:val="20"/>
                <w:szCs w:val="20"/>
              </w:rPr>
              <w:t xml:space="preserve">Bước</w:t>
            </w:r>
          </w:p>
        </w:tc>
        <w:tc>
          <w:tcPr>
            <w:tcW w:type="dxa" w:w="4739"/>
            <w:shd w:fill="2E5395" w:val="clear"/>
            <w:tcMar>
              <w:top w:type="dxa" w:w="80"/>
              <w:left w:type="dxa" w:w="100"/>
              <w:bottom w:type="dxa" w:w="80"/>
              <w:right w:type="dxa" w:w="100"/>
            </w:tcMar>
            <w:vAlign w:val="center"/>
          </w:tcPr>
          <w:p>
            <w:r>
              <w:rPr>
                <w:b/>
                <w:bCs/>
                <w:color w:val="FFFFFF"/>
                <w:sz w:val="20"/>
                <w:szCs w:val="20"/>
              </w:rPr>
              <w:t xml:space="preserve">Paper bắt buộc trích dẫn</w:t>
            </w:r>
          </w:p>
        </w:tc>
        <w:tc>
          <w:tcPr>
            <w:tcW w:type="dxa" w:w="2700"/>
            <w:shd w:fill="2E5395" w:val="clear"/>
            <w:tcMar>
              <w:top w:type="dxa" w:w="80"/>
              <w:left w:type="dxa" w:w="100"/>
              <w:bottom w:type="dxa" w:w="80"/>
              <w:right w:type="dxa" w:w="100"/>
            </w:tcMar>
            <w:vAlign w:val="center"/>
          </w:tcPr>
          <w:p>
            <w:r>
              <w:rPr>
                <w:b/>
                <w:bCs/>
                <w:color w:val="FFFFFF"/>
                <w:sz w:val="20"/>
                <w:szCs w:val="20"/>
              </w:rPr>
              <w:t xml:space="preserve">Vai trò</w:t>
            </w:r>
          </w:p>
        </w:tc>
      </w:tr>
      <w:tr>
        <w:tc>
          <w:tcPr>
            <w:tcW w:type="dxa" w:w="2200"/>
            <w:tcMar>
              <w:top w:type="dxa" w:w="80"/>
              <w:left w:type="dxa" w:w="100"/>
              <w:bottom w:type="dxa" w:w="80"/>
              <w:right w:type="dxa" w:w="100"/>
            </w:tcMar>
            <w:vAlign w:val="center"/>
          </w:tcPr>
          <w:p>
            <w:r>
              <w:rPr>
                <w:sz w:val="20"/>
                <w:szCs w:val="20"/>
              </w:rPr>
              <w:t xml:space="preserve">Bước 1 — Lọc khả thi</w:t>
            </w:r>
          </w:p>
        </w:tc>
        <w:tc>
          <w:tcPr>
            <w:tcW w:type="dxa" w:w="4739"/>
            <w:tcMar>
              <w:top w:type="dxa" w:w="80"/>
              <w:left w:type="dxa" w:w="100"/>
              <w:bottom w:type="dxa" w:w="80"/>
              <w:right w:type="dxa" w:w="100"/>
            </w:tcMar>
            <w:vAlign w:val="center"/>
          </w:tcPr>
          <w:p>
            <w:hyperlink w:history="1" r:id="rIdvgqhvgkktm5lnzbnhujr3">
              <w:r>
                <w:rPr>
                  <w:rStyle w:val="Hyperlink"/>
                </w:rPr>
                <w:t xml:space="preserve">Abouee-Mehrizi et al., 2019</w:t>
              </w:r>
            </w:hyperlink>
          </w:p>
        </w:tc>
        <w:tc>
          <w:tcPr>
            <w:tcW w:type="dxa" w:w="2700"/>
            <w:tcMar>
              <w:top w:type="dxa" w:w="80"/>
              <w:left w:type="dxa" w:w="100"/>
              <w:bottom w:type="dxa" w:w="80"/>
              <w:right w:type="dxa" w:w="100"/>
            </w:tcMar>
            <w:vAlign w:val="center"/>
          </w:tcPr>
          <w:p>
            <w:r>
              <w:rPr>
                <w:sz w:val="20"/>
                <w:szCs w:val="20"/>
              </w:rPr>
              <w:t xml:space="preserve">Định nghĩa ràng buộc remaining-lifetime threshold</w:t>
            </w:r>
          </w:p>
        </w:tc>
      </w:tr>
      <w:tr>
        <w:tc>
          <w:tcPr>
            <w:tcW w:type="dxa" w:w="2200"/>
            <w:tcMar>
              <w:top w:type="dxa" w:w="80"/>
              <w:left w:type="dxa" w:w="100"/>
              <w:bottom w:type="dxa" w:w="80"/>
              <w:right w:type="dxa" w:w="100"/>
            </w:tcMar>
            <w:vAlign w:val="center"/>
          </w:tcPr>
          <w:p>
            <w:r>
              <w:rPr>
                <w:sz w:val="20"/>
                <w:szCs w:val="20"/>
              </w:rPr>
              <w:t xml:space="preserve">Bước 2 — Weighted score</w:t>
            </w:r>
          </w:p>
        </w:tc>
        <w:tc>
          <w:tcPr>
            <w:tcW w:type="dxa" w:w="4739"/>
            <w:tcMar>
              <w:top w:type="dxa" w:w="80"/>
              <w:left w:type="dxa" w:w="100"/>
              <w:bottom w:type="dxa" w:w="80"/>
              <w:right w:type="dxa" w:w="100"/>
            </w:tcMar>
            <w:vAlign w:val="center"/>
          </w:tcPr>
          <w:p>
            <w:hyperlink w:history="1" r:id="rIdalikdxjx2hsgqewdyyhan">
              <w:r>
                <w:rPr>
                  <w:rStyle w:val="Hyperlink"/>
                </w:rPr>
                <w:t xml:space="preserve">Suárez et al., 2024</w:t>
              </w:r>
            </w:hyperlink>
          </w:p>
          <w:p>
            <w:hyperlink w:history="1" r:id="rIdkckgan3f1rpfexphkj1rz">
              <w:r>
                <w:rPr>
                  <w:rStyle w:val="Hyperlink"/>
                </w:rPr>
                <w:t xml:space="preserve">Gioia et al., 2023</w:t>
              </w:r>
            </w:hyperlink>
          </w:p>
        </w:tc>
        <w:tc>
          <w:tcPr>
            <w:tcW w:type="dxa" w:w="2700"/>
            <w:tcMar>
              <w:top w:type="dxa" w:w="80"/>
              <w:left w:type="dxa" w:w="100"/>
              <w:bottom w:type="dxa" w:w="80"/>
              <w:right w:type="dxa" w:w="100"/>
            </w:tcMar>
            <w:vAlign w:val="center"/>
          </w:tcPr>
          <w:p>
            <w:r>
              <w:rPr>
                <w:sz w:val="20"/>
                <w:szCs w:val="20"/>
              </w:rPr>
              <w:t xml:space="preserve">Công thức weighted-sum; trọng số hạn dùng biến đổi theo đơn</w:t>
            </w:r>
          </w:p>
        </w:tc>
      </w:tr>
      <w:tr>
        <w:tc>
          <w:tcPr>
            <w:tcW w:type="dxa" w:w="2200"/>
            <w:tcMar>
              <w:top w:type="dxa" w:w="80"/>
              <w:left w:type="dxa" w:w="100"/>
              <w:bottom w:type="dxa" w:w="80"/>
              <w:right w:type="dxa" w:w="100"/>
            </w:tcMar>
            <w:vAlign w:val="center"/>
          </w:tcPr>
          <w:p>
            <w:r>
              <w:rPr>
                <w:sz w:val="20"/>
                <w:szCs w:val="20"/>
              </w:rPr>
              <w:t xml:space="preserve">Bước 3 — Fallback thiếu hàng</w:t>
            </w:r>
          </w:p>
        </w:tc>
        <w:tc>
          <w:tcPr>
            <w:tcW w:type="dxa" w:w="4739"/>
            <w:tcMar>
              <w:top w:type="dxa" w:w="80"/>
              <w:left w:type="dxa" w:w="100"/>
              <w:bottom w:type="dxa" w:w="80"/>
              <w:right w:type="dxa" w:w="100"/>
            </w:tcMar>
            <w:vAlign w:val="center"/>
          </w:tcPr>
          <w:p>
            <w:hyperlink w:history="1" r:id="rIdwspic03sdq67dkobibdmg">
              <w:r>
                <w:rPr>
                  <w:rStyle w:val="Hyperlink"/>
                </w:rPr>
                <w:t xml:space="preserve">Abouee-Mehrizi et al., 2019</w:t>
              </w:r>
            </w:hyperlink>
          </w:p>
        </w:tc>
        <w:tc>
          <w:tcPr>
            <w:tcW w:type="dxa" w:w="2700"/>
            <w:tcMar>
              <w:top w:type="dxa" w:w="80"/>
              <w:left w:type="dxa" w:w="100"/>
              <w:bottom w:type="dxa" w:w="80"/>
              <w:right w:type="dxa" w:w="100"/>
            </w:tcMar>
            <w:vAlign w:val="center"/>
          </w:tcPr>
          <w:p>
            <w:r>
              <w:rPr>
                <w:sz w:val="20"/>
                <w:szCs w:val="20"/>
              </w:rPr>
              <w:t xml:space="preserve">Sequential rationing policy</w:t>
            </w:r>
          </w:p>
        </w:tc>
      </w:tr>
      <w:tr>
        <w:tc>
          <w:tcPr>
            <w:tcW w:type="dxa" w:w="2200"/>
            <w:tcMar>
              <w:top w:type="dxa" w:w="80"/>
              <w:left w:type="dxa" w:w="100"/>
              <w:bottom w:type="dxa" w:w="80"/>
              <w:right w:type="dxa" w:w="100"/>
            </w:tcMar>
            <w:vAlign w:val="center"/>
          </w:tcPr>
          <w:p>
            <w:r>
              <w:rPr>
                <w:sz w:val="20"/>
                <w:szCs w:val="20"/>
              </w:rPr>
              <w:t xml:space="preserve">Mở rộng MILP (tùy chọn)</w:t>
            </w:r>
          </w:p>
        </w:tc>
        <w:tc>
          <w:tcPr>
            <w:tcW w:type="dxa" w:w="4739"/>
            <w:tcMar>
              <w:top w:type="dxa" w:w="80"/>
              <w:left w:type="dxa" w:w="100"/>
              <w:bottom w:type="dxa" w:w="80"/>
              <w:right w:type="dxa" w:w="100"/>
            </w:tcMar>
            <w:vAlign w:val="center"/>
          </w:tcPr>
          <w:p>
            <w:hyperlink w:history="1" r:id="rIdxzf4z37lm1juqhj68ibbu">
              <w:r>
                <w:rPr>
                  <w:rStyle w:val="Hyperlink"/>
                </w:rPr>
                <w:t xml:space="preserve">Ghasemi Naraghi et al., 2025</w:t>
              </w:r>
            </w:hyperlink>
          </w:p>
        </w:tc>
        <w:tc>
          <w:tcPr>
            <w:tcW w:type="dxa" w:w="2700"/>
            <w:tcMar>
              <w:top w:type="dxa" w:w="80"/>
              <w:left w:type="dxa" w:w="100"/>
              <w:bottom w:type="dxa" w:w="80"/>
              <w:right w:type="dxa" w:w="100"/>
            </w:tcMar>
            <w:vAlign w:val="center"/>
          </w:tcPr>
          <w:p>
            <w:r>
              <w:rPr>
                <w:sz w:val="20"/>
                <w:szCs w:val="20"/>
              </w:rPr>
              <w:t xml:space="preserve">Kỹ thuật linearize ràng buộc FEFO</w:t>
            </w:r>
          </w:p>
        </w:tc>
      </w:tr>
    </w:tbl>
    <w:p>
      <w:pPr>
        <w:spacing w:after="200"/>
      </w:pPr>
    </w:p>
    <w:p>
      <w:pPr>
        <w:pStyle w:val="Heading1"/>
        <w:spacing w:after="150" w:before="300"/>
      </w:pPr>
      <w:r>
        <w:t xml:space="preserve">6. Nguồn dữ liệu</w:t>
      </w:r>
    </w:p>
    <w:p>
      <w:pPr>
        <w:spacing w:after="120"/>
      </w:pPr>
      <w:r>
        <w:rPr>
          <w:i/>
          <w:iCs/>
          <w:sz w:val="20"/>
          <w:szCs w:val="20"/>
        </w:rPr>
        <w:t xml:space="preserve">Toàn bộ paper được truy hồi từ cơ sở dữ liệu học thuật Consensus (Semantic Scholar, PubMed, Scopus, ArXiv) ngày 10/09/2026. Sinh viên vào đúng đường link kèm theo để đọc bản đầy đủ và trích dẫn chuẩn (APA/IEEE) trong báo cáo.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dfnnnrswo__uwtznhexw" Type="http://schemas.openxmlformats.org/officeDocument/2006/relationships/hyperlink" Target="https://consensus.app/papers/details/1154a122b7105957bce8669d6ff3f011/?utm_source=claude_desktop" TargetMode="External"/><Relationship Id="rIdwjkkza4xjgctqlpxtuahy" Type="http://schemas.openxmlformats.org/officeDocument/2006/relationships/hyperlink" Target="https://consensus.app/papers/details/e3c6d77759b151ac896d68c24a7f24c1/?utm_source=claude_desktop" TargetMode="External"/><Relationship Id="rIdf2i7nd43_q56_g8aw6ce1" Type="http://schemas.openxmlformats.org/officeDocument/2006/relationships/hyperlink" Target="https://consensus.app/papers/details/8fd78fa6a3c353d9809dc45a465db387/?utm_source=claude_desktop" TargetMode="External"/><Relationship Id="rIdgkhpxsgq2w8flpz0pkabr" Type="http://schemas.openxmlformats.org/officeDocument/2006/relationships/hyperlink" Target="https://consensus.app/papers/details/e926122a54fa5729a64405f7f77a2237/?utm_source=claude_desktop" TargetMode="External"/><Relationship Id="rIdigrckr3ls9n06bnzvb1kf" Type="http://schemas.openxmlformats.org/officeDocument/2006/relationships/hyperlink" Target="https://consensus.app/papers/details/46cfa413c1035daa840ee905c6e70230/?utm_source=claude_desktop" TargetMode="External"/><Relationship Id="rIdkejcss-ty308pob_7iykg" Type="http://schemas.openxmlformats.org/officeDocument/2006/relationships/hyperlink" Target="https://consensus.app/papers/details/c6cf0b32eae45e74b2cbd441e2984897/?utm_source=claude_desktop" TargetMode="External"/><Relationship Id="rIdr9gadohzccpixfykdqhse" Type="http://schemas.openxmlformats.org/officeDocument/2006/relationships/hyperlink" Target="https://consensus.app/papers/details/f1e4fb646f195bbdbfcd8628d6d53e27/?utm_source=claude_desktop" TargetMode="External"/><Relationship Id="rId4yge84nann3uk4jfgai_h" Type="http://schemas.openxmlformats.org/officeDocument/2006/relationships/hyperlink" Target="https://consensus.app/papers/details/ac397d51fc315ec885e372434836e9da/?utm_source=claude_desktop" TargetMode="External"/><Relationship Id="rIdcw8qq50qn0gxz4pttbobe" Type="http://schemas.openxmlformats.org/officeDocument/2006/relationships/hyperlink" Target="https://consensus.app/papers/details/6b08ff7e3ea057449ce498301b68240a/?utm_source=claude_desktop" TargetMode="External"/><Relationship Id="rIdrwqnfspdi8fcwlzbvxjha" Type="http://schemas.openxmlformats.org/officeDocument/2006/relationships/hyperlink" Target="https://consensus.app/papers/details/8362c978dede5acf83e9d270ca9a457f/?utm_source=claude_desktop" TargetMode="External"/><Relationship Id="rIdvgqhvgkktm5lnzbnhujr3" Type="http://schemas.openxmlformats.org/officeDocument/2006/relationships/hyperlink" Target="https://consensus.app/papers/details/1154a122b7105957bce8669d6ff3f011/?utm_source=claude_desktop" TargetMode="External"/><Relationship Id="rIdalikdxjx2hsgqewdyyhan" Type="http://schemas.openxmlformats.org/officeDocument/2006/relationships/hyperlink" Target="https://consensus.app/papers/details/8fd78fa6a3c353d9809dc45a465db387/?utm_source=claude_desktop" TargetMode="External"/><Relationship Id="rIdkckgan3f1rpfexphkj1rz" Type="http://schemas.openxmlformats.org/officeDocument/2006/relationships/hyperlink" Target="https://consensus.app/papers/details/46cfa413c1035daa840ee905c6e70230/?utm_source=claude_desktop" TargetMode="External"/><Relationship Id="rIdwspic03sdq67dkobibdmg" Type="http://schemas.openxmlformats.org/officeDocument/2006/relationships/hyperlink" Target="https://consensus.app/papers/details/1154a122b7105957bce8669d6ff3f011/?utm_source=claude_desktop" TargetMode="External"/><Relationship Id="rIdxzf4z37lm1juqhj68ibbu" Type="http://schemas.openxmlformats.org/officeDocument/2006/relationships/hyperlink" Target="https://consensus.app/papers/details/e926122a54fa5729a64405f7f77a2237/?utm_source=claude_desktop"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2026-09-10T11:13:44.487Z</dcterms:created>
  <dcterms:modified xsi:type="dcterms:W3CDTF">2026-09-10T11:13:44.487Z</dcterms:modified>
</cp:coreProperties>
</file>

<file path=docProps/custom.xml><?xml version="1.0" encoding="utf-8"?>
<Properties xmlns="http://schemas.openxmlformats.org/officeDocument/2006/custom-properties" xmlns:vt="http://schemas.openxmlformats.org/officeDocument/2006/docPropsVTypes"/>
</file>