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500"/>
        <w:jc w:val="center"/>
      </w:pPr>
      <w:r>
        <w:rPr>
          <w:b/>
          <w:bCs/>
          <w:color w:val="666666"/>
          <w:sz w:val="24"/>
          <w:szCs w:val="24"/>
        </w:rPr>
        <w:t>BÁO CÁO PHƯƠNG PHÁP LUẬN</w:t>
      </w:r>
    </w:p>
    <w:p>
      <w:pPr>
        <w:spacing w:after="100"/>
        <w:jc w:val="center"/>
      </w:pPr>
      <w:r>
        <w:rPr>
          <w:b/>
          <w:bCs/>
          <w:color w:val="1F3864"/>
          <w:sz w:val="38"/>
          <w:szCs w:val="38"/>
        </w:rPr>
        <w:t>TỐI ƯU LƯU KHO – PHÂN PHỐI – LUÂN CHUYỂN HÀNG DỄ HỎNG ĐA KHO</w:t>
      </w:r>
    </w:p>
    <w:p>
      <w:pPr>
        <w:spacing w:after="40"/>
        <w:jc w:val="center"/>
      </w:pPr>
      <w:r>
        <w:rPr>
          <w:i/>
          <w:iCs/>
          <w:color w:val="2E5395"/>
          <w:sz w:val="23"/>
          <w:szCs w:val="23"/>
        </w:rPr>
        <w:t>Khung ra quyết định bảo vệ hạn sử dụng, cân bằng lợi ích doanh nghiệp – nhà bán lẻ – người tiêu dùng</w:t>
      </w:r>
    </w:p>
    <w:p>
      <w:pPr>
        <w:spacing w:after="300" w:before="40"/>
        <w:jc w:val="center"/>
      </w:pPr>
      <w:r>
        <w:rPr>
          <w:color w:val="555555"/>
          <w:sz w:val="21"/>
          <w:szCs w:val="21"/>
        </w:rPr>
        <w:t>Case minh hoạ vận hành: mạng lưới kho minh hoạ, đơn hàng khu vực Quận 12, TP. Hồ Chí Minh</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800"/>
      </w:tblGrid>
      <w:tr>
        <w:trPr>
          <w:tblHeader/>
          <w:cantSplit/>
          <w:tblHeader w:val="true"/>
        </w:trPr>
        <w:tc>
          <w:tcPr>
            <w:tcW w:type="dxa" w:w="2600"/>
            <w:shd w:fill="1F3864" w:val="clear"/>
            <w:tcMar>
              <w:top w:type="dxa" w:w="100"/>
              <w:left w:type="dxa" w:w="120"/>
              <w:bottom w:type="dxa" w:w="100"/>
              <w:right w:type="dxa" w:w="120"/>
            </w:tcMar>
          </w:tcPr>
          <w:p>
            <w:r>
              <w:rPr>
                <w:b/>
                <w:bCs/>
                <w:color w:val="FFFFFF"/>
                <w:sz w:val="20"/>
                <w:szCs w:val="20"/>
              </w:rPr>
              <w:t>Mục</w:t>
            </w:r>
          </w:p>
        </w:tc>
        <w:tc>
          <w:tcPr>
            <w:tcW w:type="dxa" w:w="6800"/>
            <w:shd w:fill="1F3864" w:val="clear"/>
            <w:tcMar>
              <w:top w:type="dxa" w:w="100"/>
              <w:left w:type="dxa" w:w="120"/>
              <w:bottom w:type="dxa" w:w="100"/>
              <w:right w:type="dxa" w:w="120"/>
            </w:tcMar>
          </w:tcPr>
          <w:p>
            <w:r>
              <w:rPr>
                <w:b/>
                <w:bCs/>
                <w:color w:val="FFFFFF"/>
                <w:sz w:val="20"/>
                <w:szCs w:val="20"/>
              </w:rPr>
              <w:t>Nội dung</w:t>
            </w:r>
          </w:p>
        </w:tc>
      </w:tr>
      <w:tr>
        <w:trPr>
          <w:cantSplit/>
        </w:trPr>
        <w:tc>
          <w:tcPr>
            <w:tcW w:type="dxa" w:w="2600"/>
            <w:tcMar>
              <w:top w:type="dxa" w:w="100"/>
              <w:left w:type="dxa" w:w="120"/>
              <w:bottom w:type="dxa" w:w="100"/>
              <w:right w:type="dxa" w:w="120"/>
            </w:tcMar>
          </w:tcPr>
          <w:p>
            <w:pPr>
              <w:jc w:val="left"/>
            </w:pPr>
            <w:r>
              <w:rPr>
                <w:b w:val="false"/>
                <w:bCs w:val="false"/>
                <w:sz w:val="20"/>
                <w:szCs w:val="20"/>
              </w:rPr>
              <w:t>Phạm vi</w:t>
            </w:r>
          </w:p>
        </w:tc>
        <w:tc>
          <w:tcPr>
            <w:tcW w:type="dxa" w:w="6800"/>
            <w:tcMar>
              <w:top w:type="dxa" w:w="100"/>
              <w:left w:type="dxa" w:w="120"/>
              <w:bottom w:type="dxa" w:w="100"/>
              <w:right w:type="dxa" w:w="120"/>
            </w:tcMar>
          </w:tcPr>
          <w:p>
            <w:pPr>
              <w:jc w:val="left"/>
            </w:pPr>
            <w:r>
              <w:rPr>
                <w:b w:val="false"/>
                <w:bCs w:val="false"/>
                <w:sz w:val="20"/>
                <w:szCs w:val="20"/>
              </w:rPr>
              <w:t>Hàng dễ hỏng (ví dụ nhóm sữa/FMCG có hạn sử dụng), nhiều kho, nhiều nhà bán lẻ, quản lý theo lô/hạn sử dụng, giao hàng chia nhỏ (split delivery), luân chuyển giữa các kho</w:t>
            </w:r>
          </w:p>
        </w:tc>
      </w:tr>
      <w:tr>
        <w:trPr>
          <w:cantSplit/>
        </w:trPr>
        <w:tc>
          <w:tcPr>
            <w:tcW w:type="dxa" w:w="2600"/>
            <w:shd w:fill="F2F2F2" w:val="clear"/>
            <w:tcMar>
              <w:top w:type="dxa" w:w="100"/>
              <w:left w:type="dxa" w:w="120"/>
              <w:bottom w:type="dxa" w:w="100"/>
              <w:right w:type="dxa" w:w="120"/>
            </w:tcMar>
          </w:tcPr>
          <w:p>
            <w:pPr>
              <w:jc w:val="left"/>
            </w:pPr>
            <w:r>
              <w:rPr>
                <w:b w:val="false"/>
                <w:bCs w:val="false"/>
                <w:sz w:val="20"/>
                <w:szCs w:val="20"/>
              </w:rPr>
              <w:t>Nguyên tắc xây dựng</w:t>
            </w:r>
          </w:p>
        </w:tc>
        <w:tc>
          <w:tcPr>
            <w:tcW w:type="dxa" w:w="6800"/>
            <w:shd w:fill="F2F2F2" w:val="clear"/>
            <w:tcMar>
              <w:top w:type="dxa" w:w="100"/>
              <w:left w:type="dxa" w:w="120"/>
              <w:bottom w:type="dxa" w:w="100"/>
              <w:right w:type="dxa" w:w="120"/>
            </w:tcMar>
          </w:tcPr>
          <w:p>
            <w:pPr>
              <w:jc w:val="left"/>
            </w:pPr>
            <w:r>
              <w:rPr>
                <w:b w:val="false"/>
                <w:bCs w:val="false"/>
                <w:sz w:val="20"/>
                <w:szCs w:val="20"/>
              </w:rPr>
              <w:t>Không tự chế công thức. Mọi công thức/mô hình lõi đều truy vết được tới bài báo khoa học có bình duyệt (peer-reviewed); phần kết hợp nhiều nguồn với nhau được ghi rõ là đóng góp (contribution) của đồ án, không gán cho một bài báo cụ thể</w:t>
            </w:r>
          </w:p>
        </w:tc>
      </w:tr>
      <w:tr>
        <w:trPr>
          <w:cantSplit/>
        </w:trPr>
        <w:tc>
          <w:tcPr>
            <w:tcW w:type="dxa" w:w="2600"/>
            <w:tcMar>
              <w:top w:type="dxa" w:w="100"/>
              <w:left w:type="dxa" w:w="120"/>
              <w:bottom w:type="dxa" w:w="100"/>
              <w:right w:type="dxa" w:w="120"/>
            </w:tcMar>
          </w:tcPr>
          <w:p>
            <w:pPr>
              <w:jc w:val="left"/>
            </w:pPr>
            <w:r>
              <w:rPr>
                <w:b w:val="false"/>
                <w:bCs w:val="false"/>
                <w:sz w:val="20"/>
                <w:szCs w:val="20"/>
              </w:rPr>
              <w:t>Số nguồn tham khảo</w:t>
            </w:r>
          </w:p>
        </w:tc>
        <w:tc>
          <w:tcPr>
            <w:tcW w:type="dxa" w:w="6800"/>
            <w:tcMar>
              <w:top w:type="dxa" w:w="100"/>
              <w:left w:type="dxa" w:w="120"/>
              <w:bottom w:type="dxa" w:w="100"/>
              <w:right w:type="dxa" w:w="120"/>
            </w:tcMar>
          </w:tcPr>
          <w:p>
            <w:pPr>
              <w:jc w:val="left"/>
            </w:pPr>
            <w:r>
              <w:rPr>
                <w:b w:val="false"/>
                <w:bCs w:val="false"/>
                <w:sz w:val="20"/>
                <w:szCs w:val="20"/>
              </w:rPr>
              <w:t>19 nguồn tham khảo học thuật; ưu tiên bài peer-reviewed có DOI và ghi rõ vai trò/giới hạn của từng nguồn. Các equation lõi phải được đối chiếu lại với Version of Record trước bản nộp cuối.</w:t>
            </w:r>
          </w:p>
        </w:tc>
      </w:tr>
      <w:tr>
        <w:trPr>
          <w:cantSplit/>
        </w:trPr>
        <w:tc>
          <w:tcPr>
            <w:tcW w:type="dxa" w:w="2600"/>
            <w:shd w:fill="F2F2F2" w:val="clear"/>
            <w:tcMar>
              <w:top w:type="dxa" w:w="100"/>
              <w:left w:type="dxa" w:w="120"/>
              <w:bottom w:type="dxa" w:w="100"/>
              <w:right w:type="dxa" w:w="120"/>
            </w:tcMar>
          </w:tcPr>
          <w:p>
            <w:pPr>
              <w:jc w:val="left"/>
            </w:pPr>
            <w:r>
              <w:rPr>
                <w:b w:val="false"/>
                <w:bCs w:val="false"/>
                <w:sz w:val="20"/>
                <w:szCs w:val="20"/>
              </w:rPr>
              <w:t>Ngày hoàn thiện</w:t>
            </w:r>
          </w:p>
        </w:tc>
        <w:tc>
          <w:tcPr>
            <w:tcW w:type="dxa" w:w="6800"/>
            <w:shd w:fill="F2F2F2" w:val="clear"/>
            <w:tcMar>
              <w:top w:type="dxa" w:w="100"/>
              <w:left w:type="dxa" w:w="120"/>
              <w:bottom w:type="dxa" w:w="100"/>
              <w:right w:type="dxa" w:w="120"/>
            </w:tcMar>
          </w:tcPr>
          <w:p>
            <w:pPr>
              <w:jc w:val="left"/>
            </w:pPr>
            <w:r>
              <w:rPr>
                <w:b w:val="false"/>
                <w:bCs w:val="false"/>
                <w:sz w:val="20"/>
                <w:szCs w:val="20"/>
              </w:rPr>
              <w:t>24/08/2026</w:t>
            </w:r>
          </w:p>
        </w:tc>
      </w:tr>
    </w:tbl>
    <w:p>
      <w:pPr>
        <w:spacing w:after="200"/>
      </w:pPr>
    </w:p>
    <w:p>
      <w:r/>
    </w:p>
    <w:p>
      <w:pPr>
        <w:pStyle w:val="Heading1"/>
        <w:spacing w:after="160" w:before="360"/>
      </w:pPr>
      <w:r>
        <w:rPr>
          <w:b/>
          <w:bCs/>
          <w:color w:val="1F3864"/>
          <w:sz w:val="30"/>
          <w:szCs w:val="30"/>
        </w:rPr>
        <w:t>1. ĐẶT VẤN ĐỀ</w:t>
      </w:r>
    </w:p>
    <w:p>
      <w:pPr>
        <w:pStyle w:val="Heading2"/>
        <w:spacing w:after="120" w:before="260"/>
      </w:pPr>
      <w:r>
        <w:rPr>
          <w:b/>
          <w:bCs/>
          <w:color w:val="2E5395"/>
          <w:sz w:val="25"/>
          <w:szCs w:val="25"/>
        </w:rPr>
        <w:t>1.1. Bối cảnh</w:t>
      </w:r>
    </w:p>
    <w:p>
      <w:pPr>
        <w:spacing w:after="140" w:line="300"/>
      </w:pPr>
      <w:r>
        <w:rPr>
          <w:sz w:val="22"/>
          <w:szCs w:val="22"/>
        </w:rPr>
        <w:t>Một doanh nghiệp phân phối hàng dễ hỏng (minh hoạ: một mạng lưới nhiều kho) vận hành nhiều kho, cung cấp hàng cho nhiều nhà bán lẻ. Mỗi lô hàng có một hạn sử dụng cố định; mỗi kho nằm ở một vị trí địa lý khác nhau; mỗi nhà bán lẻ có tốc độ bán hàng và chu kỳ đặt hàng (thường theo tuần) khác nhau. Bài toán vận hành hằng ngày là: khi có một đơn đặt hàng — ví dụ một nhà bán lẻ ở Quận 12, TP.HCM — hệ thống phải quyết định kho nào xuất hàng, lô nào được chọn, và nếu cần, có luân chuyển hàng giữa các kho hay không, sao cho hàng tới tay người tiêu dùng nhanh và đủ tươi, đồng thời không gây lãng phí cho doanh nghiệp.</w:t>
      </w:r>
    </w:p>
    <w:p>
      <w:pPr>
        <w:pStyle w:val="Heading2"/>
        <w:spacing w:after="120" w:before="260"/>
      </w:pPr>
      <w:r>
        <w:rPr>
          <w:b/>
          <w:bCs/>
          <w:color w:val="2E5395"/>
          <w:sz w:val="25"/>
          <w:szCs w:val="25"/>
        </w:rPr>
        <w:t>1.2. Bốn câu hỏi nghiên cứu</w:t>
      </w:r>
    </w:p>
    <w:p>
      <w:pPr>
        <w:spacing w:after="140" w:line="300"/>
      </w:pPr>
      <w:r>
        <w:rPr>
          <w:sz w:val="22"/>
          <w:szCs w:val="22"/>
        </w:rPr>
        <w:t>Báo cáo này được xây dựng để trả lời trực tiếp bốn câu hỏi vận hành sau, mỗi câu hỏi được ánh xạ sang một hoặc nhiều mô hình cụ thể ở Mục 3:</w:t>
      </w:r>
    </w:p>
    <w:p>
      <w:pPr>
        <w:pStyle w:val="ListParagraph"/>
        <w:numPr>
          <w:ilvl w:val="0"/>
          <w:numId w:val="2"/>
        </w:numPr>
        <w:spacing w:after="100" w:line="290"/>
      </w:pPr>
      <w:r>
        <w:rPr>
          <w:b/>
          <w:bCs/>
          <w:sz w:val="22"/>
          <w:szCs w:val="22"/>
        </w:rPr>
        <w:t xml:space="preserve">Câu hỏi 1 — Lưu kho/phân phối/luân chuyển: </w:t>
      </w:r>
      <w:r>
        <w:rPr>
          <w:sz w:val="22"/>
          <w:szCs w:val="22"/>
        </w:rPr>
        <w:t>Nên lưu hàng ở kho nào, phân phối ra sao, và luân chuyển giữa các kho trong mạng lưới như thế nào để hàng đến tay người tiêu dùng nhanh nhất?</w:t>
      </w:r>
    </w:p>
    <w:p>
      <w:pPr>
        <w:pStyle w:val="ListParagraph"/>
        <w:numPr>
          <w:ilvl w:val="0"/>
          <w:numId w:val="2"/>
        </w:numPr>
        <w:spacing w:after="100" w:line="290"/>
      </w:pPr>
      <w:r>
        <w:rPr>
          <w:b/>
          <w:bCs/>
          <w:sz w:val="22"/>
          <w:szCs w:val="22"/>
        </w:rPr>
        <w:t xml:space="preserve">Câu hỏi 2 — Mâu thuẫn tưởng chừng đối lập giữa hạn ngắn và hạn dài: </w:t>
      </w:r>
      <w:r>
        <w:rPr>
          <w:sz w:val="22"/>
          <w:szCs w:val="22"/>
        </w:rPr>
        <w:t>Doanh nghiệp muốn xuất hết hàng có hạn sử dụng ngắn nhất càng nhiều càng tốt (giảm huỷ hàng), nhưng đồng thời phải đảm bảo người tiêu dùng nhận được sản phẩm với hạn sử dụng đủ dài để bảo vệ quyền lợi của họ. Làm sao giải quyết đồng thời cả hai?</w:t>
      </w:r>
    </w:p>
    <w:p>
      <w:pPr>
        <w:pStyle w:val="ListParagraph"/>
        <w:numPr>
          <w:ilvl w:val="0"/>
          <w:numId w:val="2"/>
        </w:numPr>
        <w:spacing w:after="100" w:line="290"/>
      </w:pPr>
      <w:r>
        <w:rPr>
          <w:b/>
          <w:bCs/>
          <w:sz w:val="22"/>
          <w:szCs w:val="22"/>
        </w:rPr>
        <w:t xml:space="preserve">Câu hỏi 3 — Phân bổ lô hàng theo kho và theo chu kỳ đặt hàng: </w:t>
      </w:r>
      <w:r>
        <w:rPr>
          <w:sz w:val="22"/>
          <w:szCs w:val="22"/>
        </w:rPr>
        <w:t>Một lô hàng cụ thể nên được đưa vào kho nào, trong bối cảnh các nhà bán lẻ đặt hàng theo tuần với tần suất khác nhau?</w:t>
      </w:r>
    </w:p>
    <w:p>
      <w:pPr>
        <w:pStyle w:val="ListParagraph"/>
        <w:numPr>
          <w:ilvl w:val="0"/>
          <w:numId w:val="2"/>
        </w:numPr>
        <w:spacing w:after="100" w:line="290"/>
      </w:pPr>
      <w:r>
        <w:rPr>
          <w:b/>
          <w:bCs/>
          <w:sz w:val="22"/>
          <w:szCs w:val="22"/>
        </w:rPr>
        <w:t xml:space="preserve">Câu hỏi 4 — Cân bằng lợi ích ba bên cho một đơn hàng cụ thể: </w:t>
      </w:r>
      <w:r>
        <w:rPr>
          <w:sz w:val="22"/>
          <w:szCs w:val="22"/>
        </w:rPr>
        <w:t>Với một đơn hàng tại Quận 12, kho nào nên phục vụ, sao cho vừa có lợi cho doanh nghiệp (chi phí, giảm lãng phí), vừa có lợi cho nhà bán lẻ (đúng cam kết hợp đồng), vừa có lợi cho người tiêu dùng (đủ tươi) — không thiên vị riêng một bên?</w:t>
      </w:r>
    </w:p>
    <w:p>
      <w:pPr>
        <w:pStyle w:val="Heading2"/>
        <w:spacing w:after="120" w:before="260"/>
      </w:pPr>
      <w:r>
        <w:rPr>
          <w:b/>
          <w:bCs/>
          <w:color w:val="2E5395"/>
          <w:sz w:val="25"/>
          <w:szCs w:val="25"/>
        </w:rPr>
        <w:t>1.3. Cấu trúc báo cáo</w:t>
      </w:r>
    </w:p>
    <w:p>
      <w:pPr>
        <w:spacing w:after="140" w:line="300"/>
      </w:pPr>
      <w:r>
        <w:rPr>
          <w:sz w:val="22"/>
          <w:szCs w:val="22"/>
        </w:rPr>
        <w:t>Mục 2 trình bày kiến trúc tổng thể của khung phương pháp (pipeline 10 bước). Mục 3 là phần trọng tâm: trình bày từng công thức/mô hình được sử dụng, mỗi công thức đều nêu rõ bốn thông tin bắt buộc — nguồn trích dẫn, mục đích, vấn đề giải quyết, và lý do được chọn so với các phương án khác. Mục 4 minh hoạ toàn bộ pipeline bằng một ví dụ số cho đơn hàng Quận 12. Mục 5 nêu rõ giới hạn và những gì không được phép khẳng định. Mục 6 là lộ trình triển khai đề xuất. Mục 7 kết luận. Danh mục tài liệu tham khảo đầy đủ (21 nguồn, có DOI) ở Mục 8.</w:t>
      </w:r>
    </w:p>
    <w:p>
      <w:pPr>
        <w:spacing w:after="120"/>
      </w:pPr>
    </w:p>
    <w:p>
      <w:pPr>
        <w:pStyle w:val="Heading1"/>
        <w:spacing w:after="160" w:before="360"/>
      </w:pPr>
      <w:r>
        <w:rPr>
          <w:b/>
          <w:bCs/>
          <w:color w:val="1F3864"/>
          <w:sz w:val="30"/>
          <w:szCs w:val="30"/>
        </w:rPr>
        <w:t>2. KIẾN TRÚC TỔNG THỂ CỦA KHUNG PHƯƠNG PHÁP</w:t>
      </w:r>
    </w:p>
    <w:p>
      <w:pPr>
        <w:spacing w:after="140" w:line="300"/>
      </w:pPr>
      <w:r>
        <w:rPr>
          <w:sz w:val="22"/>
          <w:szCs w:val="22"/>
        </w:rPr>
        <w:t>Toàn bộ quy trình ra quyết định được chia thành 10 bước nối tiếp, mỗi bước dựa trên một hoặc hai nguồn học thuật riêng biệt. Không có một bài báo duy nhất bao phủ toàn bộ chuỗi này — đây là điều đã được kiểm tra kỹ trong quá trình xây dựng (xem thêm Mục 3.11) — nên đóng góp của đồ án nằm ở việc tích hợp các phương pháp đã qua bình duyệt thành một framework nhất quán, module hoá, có thể kiểm chứng từng phần.</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4200"/>
        <w:gridCol w:w="2200"/>
      </w:tblGrid>
      <w:tr>
        <w:trPr>
          <w:tblHeader/>
          <w:cantSplit/>
          <w:tblHeader w:val="true"/>
        </w:trPr>
        <w:tc>
          <w:tcPr>
            <w:tcW w:type="dxa" w:w="2400"/>
            <w:shd w:fill="1F3864" w:val="clear"/>
            <w:tcMar>
              <w:top w:type="dxa" w:w="100"/>
              <w:left w:type="dxa" w:w="120"/>
              <w:bottom w:type="dxa" w:w="100"/>
              <w:right w:type="dxa" w:w="120"/>
            </w:tcMar>
          </w:tcPr>
          <w:p>
            <w:r>
              <w:rPr>
                <w:b/>
                <w:bCs/>
                <w:color w:val="FFFFFF"/>
                <w:sz w:val="20"/>
                <w:szCs w:val="20"/>
              </w:rPr>
              <w:t>Bước</w:t>
            </w:r>
          </w:p>
        </w:tc>
        <w:tc>
          <w:tcPr>
            <w:tcW w:type="dxa" w:w="4200"/>
            <w:shd w:fill="1F3864" w:val="clear"/>
            <w:tcMar>
              <w:top w:type="dxa" w:w="100"/>
              <w:left w:type="dxa" w:w="120"/>
              <w:bottom w:type="dxa" w:w="100"/>
              <w:right w:type="dxa" w:w="120"/>
            </w:tcMar>
          </w:tcPr>
          <w:p>
            <w:r>
              <w:rPr>
                <w:b/>
                <w:bCs/>
                <w:color w:val="FFFFFF"/>
                <w:sz w:val="20"/>
                <w:szCs w:val="20"/>
              </w:rPr>
              <w:t>Nội dung</w:t>
            </w:r>
          </w:p>
        </w:tc>
        <w:tc>
          <w:tcPr>
            <w:tcW w:type="dxa" w:w="2200"/>
            <w:shd w:fill="1F3864" w:val="clear"/>
            <w:tcMar>
              <w:top w:type="dxa" w:w="100"/>
              <w:left w:type="dxa" w:w="120"/>
              <w:bottom w:type="dxa" w:w="100"/>
              <w:right w:type="dxa" w:w="120"/>
            </w:tcMar>
          </w:tcPr>
          <w:p>
            <w:r>
              <w:rPr>
                <w:b/>
                <w:bCs/>
                <w:color w:val="FFFFFF"/>
                <w:sz w:val="20"/>
                <w:szCs w:val="20"/>
              </w:rPr>
              <w:t>Trả lời câu hỏi</w:t>
            </w:r>
          </w:p>
        </w:tc>
      </w:tr>
      <w:tr>
        <w:trPr>
          <w:cantSplit/>
        </w:trPr>
        <w:tc>
          <w:tcPr>
            <w:tcW w:type="dxa" w:w="2400"/>
            <w:tcMar>
              <w:top w:type="dxa" w:w="100"/>
              <w:left w:type="dxa" w:w="120"/>
              <w:bottom w:type="dxa" w:w="100"/>
              <w:right w:type="dxa" w:w="120"/>
            </w:tcMar>
          </w:tcPr>
          <w:p>
            <w:pPr>
              <w:jc w:val="left"/>
            </w:pPr>
            <w:r>
              <w:rPr>
                <w:b w:val="false"/>
                <w:bCs w:val="false"/>
                <w:sz w:val="20"/>
                <w:szCs w:val="20"/>
              </w:rPr>
              <w:t>A. Khởi tạo nhu cầu (cold-start)</w:t>
            </w:r>
          </w:p>
        </w:tc>
        <w:tc>
          <w:tcPr>
            <w:tcW w:type="dxa" w:w="4200"/>
            <w:tcMar>
              <w:top w:type="dxa" w:w="100"/>
              <w:left w:type="dxa" w:w="120"/>
              <w:bottom w:type="dxa" w:w="100"/>
              <w:right w:type="dxa" w:w="120"/>
            </w:tcMar>
          </w:tcPr>
          <w:p>
            <w:pPr>
              <w:jc w:val="left"/>
            </w:pPr>
            <w:r>
              <w:rPr>
                <w:b w:val="false"/>
                <w:bCs w:val="false"/>
                <w:sz w:val="20"/>
                <w:szCs w:val="20"/>
              </w:rPr>
              <w:t>Phân cụm cửa hàng tương đồng → gợi ý hệ thống → con người (Sales) kiểm tra → chốt đơn đầu tiên</w:t>
            </w:r>
          </w:p>
        </w:tc>
        <w:tc>
          <w:tcPr>
            <w:tcW w:type="dxa" w:w="2200"/>
            <w:tcMar>
              <w:top w:type="dxa" w:w="100"/>
              <w:left w:type="dxa" w:w="120"/>
              <w:bottom w:type="dxa" w:w="100"/>
              <w:right w:type="dxa" w:w="120"/>
            </w:tcMar>
          </w:tcPr>
          <w:p>
            <w:pPr>
              <w:jc w:val="left"/>
            </w:pPr>
            <w:r>
              <w:rPr>
                <w:b w:val="false"/>
                <w:bCs w:val="false"/>
                <w:sz w:val="20"/>
                <w:szCs w:val="20"/>
              </w:rPr>
              <w:t>Câu hỏi 3</w:t>
            </w:r>
          </w:p>
        </w:tc>
      </w:tr>
      <w:tr>
        <w:trPr>
          <w:cantSplit/>
        </w:trPr>
        <w:tc>
          <w:tcPr>
            <w:tcW w:type="dxa" w:w="2400"/>
            <w:shd w:fill="F2F2F2" w:val="clear"/>
            <w:tcMar>
              <w:top w:type="dxa" w:w="100"/>
              <w:left w:type="dxa" w:w="120"/>
              <w:bottom w:type="dxa" w:w="100"/>
              <w:right w:type="dxa" w:w="120"/>
            </w:tcMar>
          </w:tcPr>
          <w:p>
            <w:pPr>
              <w:jc w:val="left"/>
            </w:pPr>
            <w:r>
              <w:rPr>
                <w:b w:val="false"/>
                <w:bCs w:val="false"/>
                <w:sz w:val="20"/>
                <w:szCs w:val="20"/>
              </w:rPr>
              <w:t>B. Học nhu cầu tuần tự</w:t>
            </w:r>
          </w:p>
        </w:tc>
        <w:tc>
          <w:tcPr>
            <w:tcW w:type="dxa" w:w="4200"/>
            <w:shd w:fill="F2F2F2" w:val="clear"/>
            <w:tcMar>
              <w:top w:type="dxa" w:w="100"/>
              <w:left w:type="dxa" w:w="120"/>
              <w:bottom w:type="dxa" w:w="100"/>
              <w:right w:type="dxa" w:w="120"/>
            </w:tcMar>
          </w:tcPr>
          <w:p>
            <w:pPr>
              <w:jc w:val="left"/>
            </w:pPr>
            <w:r>
              <w:rPr>
                <w:b w:val="false"/>
                <w:bCs w:val="false"/>
                <w:sz w:val="20"/>
                <w:szCs w:val="20"/>
              </w:rPr>
              <w:t>Cập nhật ước lượng nhu cầu sau mỗi chu kỳ đặt hàng bằng phương pháp Bayes</w:t>
            </w:r>
          </w:p>
        </w:tc>
        <w:tc>
          <w:tcPr>
            <w:tcW w:type="dxa" w:w="2200"/>
            <w:shd w:fill="F2F2F2" w:val="clear"/>
            <w:tcMar>
              <w:top w:type="dxa" w:w="100"/>
              <w:left w:type="dxa" w:w="120"/>
              <w:bottom w:type="dxa" w:w="100"/>
              <w:right w:type="dxa" w:w="120"/>
            </w:tcMar>
          </w:tcPr>
          <w:p>
            <w:pPr>
              <w:jc w:val="left"/>
            </w:pPr>
            <w:r>
              <w:rPr>
                <w:b w:val="false"/>
                <w:bCs w:val="false"/>
                <w:sz w:val="20"/>
                <w:szCs w:val="20"/>
              </w:rPr>
              <w:t>Câu hỏi 3</w:t>
            </w:r>
          </w:p>
        </w:tc>
      </w:tr>
      <w:tr>
        <w:trPr>
          <w:cantSplit/>
        </w:trPr>
        <w:tc>
          <w:tcPr>
            <w:tcW w:type="dxa" w:w="2400"/>
            <w:tcMar>
              <w:top w:type="dxa" w:w="100"/>
              <w:left w:type="dxa" w:w="120"/>
              <w:bottom w:type="dxa" w:w="100"/>
              <w:right w:type="dxa" w:w="120"/>
            </w:tcMar>
          </w:tcPr>
          <w:p>
            <w:pPr>
              <w:jc w:val="left"/>
            </w:pPr>
            <w:r>
              <w:rPr>
                <w:b w:val="false"/>
                <w:bCs w:val="false"/>
                <w:sz w:val="20"/>
                <w:szCs w:val="20"/>
              </w:rPr>
              <w:t>C. Ràng buộc độ tươi</w:t>
            </w:r>
          </w:p>
        </w:tc>
        <w:tc>
          <w:tcPr>
            <w:tcW w:type="dxa" w:w="4200"/>
            <w:tcMar>
              <w:top w:type="dxa" w:w="100"/>
              <w:left w:type="dxa" w:w="120"/>
              <w:bottom w:type="dxa" w:w="100"/>
              <w:right w:type="dxa" w:w="120"/>
            </w:tcMar>
          </w:tcPr>
          <w:p>
            <w:pPr>
              <w:jc w:val="left"/>
            </w:pPr>
            <w:r>
              <w:rPr>
                <w:b w:val="false"/>
                <w:bCs w:val="false"/>
                <w:sz w:val="20"/>
                <w:szCs w:val="20"/>
              </w:rPr>
              <w:t>Tách hai loại ràng buộc: MLOR (theo hợp đồng với nhà bán lẻ) và Min-RSL (mục tiêu độ tươi cho người tiêu dùng)</w:t>
            </w:r>
          </w:p>
        </w:tc>
        <w:tc>
          <w:tcPr>
            <w:tcW w:type="dxa" w:w="2200"/>
            <w:tcMar>
              <w:top w:type="dxa" w:w="100"/>
              <w:left w:type="dxa" w:w="120"/>
              <w:bottom w:type="dxa" w:w="100"/>
              <w:right w:type="dxa" w:w="120"/>
            </w:tcMar>
          </w:tcPr>
          <w:p>
            <w:pPr>
              <w:jc w:val="left"/>
            </w:pPr>
            <w:r>
              <w:rPr>
                <w:b w:val="false"/>
                <w:bCs w:val="false"/>
                <w:sz w:val="20"/>
                <w:szCs w:val="20"/>
              </w:rPr>
              <w:t>Câu hỏi 2, 4</w:t>
            </w:r>
          </w:p>
        </w:tc>
      </w:tr>
      <w:tr>
        <w:trPr>
          <w:cantSplit/>
        </w:trPr>
        <w:tc>
          <w:tcPr>
            <w:tcW w:type="dxa" w:w="2400"/>
            <w:shd w:fill="F2F2F2" w:val="clear"/>
            <w:tcMar>
              <w:top w:type="dxa" w:w="100"/>
              <w:left w:type="dxa" w:w="120"/>
              <w:bottom w:type="dxa" w:w="100"/>
              <w:right w:type="dxa" w:w="120"/>
            </w:tcMar>
          </w:tcPr>
          <w:p>
            <w:pPr>
              <w:jc w:val="left"/>
            </w:pPr>
            <w:r>
              <w:rPr>
                <w:b w:val="false"/>
                <w:bCs w:val="false"/>
                <w:sz w:val="20"/>
                <w:szCs w:val="20"/>
              </w:rPr>
              <w:t>D. Kiểm tra khả thi theo lô</w:t>
            </w:r>
          </w:p>
        </w:tc>
        <w:tc>
          <w:tcPr>
            <w:tcW w:type="dxa" w:w="4200"/>
            <w:shd w:fill="F2F2F2" w:val="clear"/>
            <w:tcMar>
              <w:top w:type="dxa" w:w="100"/>
              <w:left w:type="dxa" w:w="120"/>
              <w:bottom w:type="dxa" w:w="100"/>
              <w:right w:type="dxa" w:w="120"/>
            </w:tcMar>
          </w:tcPr>
          <w:p>
            <w:pPr>
              <w:jc w:val="left"/>
            </w:pPr>
            <w:r>
              <w:rPr>
                <w:b w:val="false"/>
                <w:bCs w:val="false"/>
                <w:sz w:val="20"/>
                <w:szCs w:val="20"/>
              </w:rPr>
              <w:t>Loại các cặp lô–điểm giao không đủ hạn sử dụng để tới nơi an toàn</w:t>
            </w:r>
          </w:p>
        </w:tc>
        <w:tc>
          <w:tcPr>
            <w:tcW w:type="dxa" w:w="2200"/>
            <w:shd w:fill="F2F2F2" w:val="clear"/>
            <w:tcMar>
              <w:top w:type="dxa" w:w="100"/>
              <w:left w:type="dxa" w:w="120"/>
              <w:bottom w:type="dxa" w:w="100"/>
              <w:right w:type="dxa" w:w="120"/>
            </w:tcMar>
          </w:tcPr>
          <w:p>
            <w:pPr>
              <w:jc w:val="left"/>
            </w:pPr>
            <w:r>
              <w:rPr>
                <w:b w:val="false"/>
                <w:bCs w:val="false"/>
                <w:sz w:val="20"/>
                <w:szCs w:val="20"/>
              </w:rPr>
              <w:t>Câu hỏi 2</w:t>
            </w:r>
          </w:p>
        </w:tc>
      </w:tr>
      <w:tr>
        <w:trPr>
          <w:cantSplit/>
        </w:trPr>
        <w:tc>
          <w:tcPr>
            <w:tcW w:type="dxa" w:w="2400"/>
            <w:tcMar>
              <w:top w:type="dxa" w:w="100"/>
              <w:left w:type="dxa" w:w="120"/>
              <w:bottom w:type="dxa" w:w="100"/>
              <w:right w:type="dxa" w:w="120"/>
            </w:tcMar>
          </w:tcPr>
          <w:p>
            <w:pPr>
              <w:jc w:val="left"/>
            </w:pPr>
            <w:r>
              <w:rPr>
                <w:b w:val="false"/>
                <w:bCs w:val="false"/>
                <w:sz w:val="20"/>
                <w:szCs w:val="20"/>
              </w:rPr>
              <w:t>E. FEFO trong tập khả thi</w:t>
            </w:r>
          </w:p>
        </w:tc>
        <w:tc>
          <w:tcPr>
            <w:tcW w:type="dxa" w:w="4200"/>
            <w:tcMar>
              <w:top w:type="dxa" w:w="100"/>
              <w:left w:type="dxa" w:w="120"/>
              <w:bottom w:type="dxa" w:w="100"/>
              <w:right w:type="dxa" w:w="120"/>
            </w:tcMar>
          </w:tcPr>
          <w:p>
            <w:pPr>
              <w:jc w:val="left"/>
            </w:pPr>
            <w:r>
              <w:rPr>
                <w:b w:val="false"/>
                <w:bCs w:val="false"/>
                <w:sz w:val="20"/>
                <w:szCs w:val="20"/>
              </w:rPr>
              <w:t>Trong các lô đã qua bước D, ưu tiên giao lô hết hạn sớm nhất trước</w:t>
            </w:r>
          </w:p>
        </w:tc>
        <w:tc>
          <w:tcPr>
            <w:tcW w:type="dxa" w:w="2200"/>
            <w:tcMar>
              <w:top w:type="dxa" w:w="100"/>
              <w:left w:type="dxa" w:w="120"/>
              <w:bottom w:type="dxa" w:w="100"/>
              <w:right w:type="dxa" w:w="120"/>
            </w:tcMar>
          </w:tcPr>
          <w:p>
            <w:pPr>
              <w:jc w:val="left"/>
            </w:pPr>
            <w:r>
              <w:rPr>
                <w:b w:val="false"/>
                <w:bCs w:val="false"/>
                <w:sz w:val="20"/>
                <w:szCs w:val="20"/>
              </w:rPr>
              <w:t>Câu hỏi 2</w:t>
            </w:r>
          </w:p>
        </w:tc>
      </w:tr>
      <w:tr>
        <w:trPr>
          <w:cantSplit/>
        </w:trPr>
        <w:tc>
          <w:tcPr>
            <w:tcW w:type="dxa" w:w="2400"/>
            <w:shd w:fill="F2F2F2" w:val="clear"/>
            <w:tcMar>
              <w:top w:type="dxa" w:w="100"/>
              <w:left w:type="dxa" w:w="120"/>
              <w:bottom w:type="dxa" w:w="100"/>
              <w:right w:type="dxa" w:w="120"/>
            </w:tcMar>
          </w:tcPr>
          <w:p>
            <w:pPr>
              <w:jc w:val="left"/>
            </w:pPr>
            <w:r>
              <w:rPr>
                <w:b w:val="false"/>
                <w:bCs w:val="false"/>
                <w:sz w:val="20"/>
                <w:szCs w:val="20"/>
              </w:rPr>
              <w:t>F. Sàng lọc kho ứng viên</w:t>
            </w:r>
          </w:p>
        </w:tc>
        <w:tc>
          <w:tcPr>
            <w:tcW w:type="dxa" w:w="4200"/>
            <w:shd w:fill="F2F2F2" w:val="clear"/>
            <w:tcMar>
              <w:top w:type="dxa" w:w="100"/>
              <w:left w:type="dxa" w:w="120"/>
              <w:bottom w:type="dxa" w:w="100"/>
              <w:right w:type="dxa" w:w="120"/>
            </w:tcMar>
          </w:tcPr>
          <w:p>
            <w:pPr>
              <w:jc w:val="left"/>
            </w:pPr>
            <w:r>
              <w:rPr>
                <w:b w:val="false"/>
                <w:bCs w:val="false"/>
                <w:sz w:val="20"/>
                <w:szCs w:val="20"/>
              </w:rPr>
              <w:t>Lọc nhanh các kho gần đơn hàng theo khoảng cách địa lý</w:t>
            </w:r>
          </w:p>
        </w:tc>
        <w:tc>
          <w:tcPr>
            <w:tcW w:type="dxa" w:w="2200"/>
            <w:shd w:fill="F2F2F2" w:val="clear"/>
            <w:tcMar>
              <w:top w:type="dxa" w:w="100"/>
              <w:left w:type="dxa" w:w="120"/>
              <w:bottom w:type="dxa" w:w="100"/>
              <w:right w:type="dxa" w:w="120"/>
            </w:tcMar>
          </w:tcPr>
          <w:p>
            <w:pPr>
              <w:jc w:val="left"/>
            </w:pPr>
            <w:r>
              <w:rPr>
                <w:b w:val="false"/>
                <w:bCs w:val="false"/>
                <w:sz w:val="20"/>
                <w:szCs w:val="20"/>
              </w:rPr>
              <w:t>Câu hỏi 1, 4</w:t>
            </w:r>
          </w:p>
        </w:tc>
      </w:tr>
      <w:tr>
        <w:trPr>
          <w:cantSplit/>
        </w:trPr>
        <w:tc>
          <w:tcPr>
            <w:tcW w:type="dxa" w:w="2400"/>
            <w:tcMar>
              <w:top w:type="dxa" w:w="100"/>
              <w:left w:type="dxa" w:w="120"/>
              <w:bottom w:type="dxa" w:w="100"/>
              <w:right w:type="dxa" w:w="120"/>
            </w:tcMar>
          </w:tcPr>
          <w:p>
            <w:pPr>
              <w:jc w:val="left"/>
            </w:pPr>
            <w:r>
              <w:rPr>
                <w:b w:val="false"/>
                <w:bCs w:val="false"/>
                <w:sz w:val="20"/>
                <w:szCs w:val="20"/>
              </w:rPr>
              <w:t>G. Ma trận chi phí đường bộ</w:t>
            </w:r>
          </w:p>
        </w:tc>
        <w:tc>
          <w:tcPr>
            <w:tcW w:type="dxa" w:w="4200"/>
            <w:tcMar>
              <w:top w:type="dxa" w:w="100"/>
              <w:left w:type="dxa" w:w="120"/>
              <w:bottom w:type="dxa" w:w="100"/>
              <w:right w:type="dxa" w:w="120"/>
            </w:tcMar>
          </w:tcPr>
          <w:p>
            <w:pPr>
              <w:jc w:val="left"/>
            </w:pPr>
            <w:r>
              <w:rPr>
                <w:b w:val="false"/>
                <w:bCs w:val="false"/>
                <w:sz w:val="20"/>
                <w:szCs w:val="20"/>
              </w:rPr>
              <w:t>Tính thời gian/chi phí di chuyển thực tế giữa các kho và điểm giao</w:t>
            </w:r>
          </w:p>
        </w:tc>
        <w:tc>
          <w:tcPr>
            <w:tcW w:type="dxa" w:w="2200"/>
            <w:tcMar>
              <w:top w:type="dxa" w:w="100"/>
              <w:left w:type="dxa" w:w="120"/>
              <w:bottom w:type="dxa" w:w="100"/>
              <w:right w:type="dxa" w:w="120"/>
            </w:tcMar>
          </w:tcPr>
          <w:p>
            <w:pPr>
              <w:jc w:val="left"/>
            </w:pPr>
            <w:r>
              <w:rPr>
                <w:b w:val="false"/>
                <w:bCs w:val="false"/>
                <w:sz w:val="20"/>
                <w:szCs w:val="20"/>
              </w:rPr>
              <w:t>Câu hỏi 1, 4</w:t>
            </w:r>
          </w:p>
        </w:tc>
      </w:tr>
      <w:tr>
        <w:trPr>
          <w:cantSplit/>
        </w:trPr>
        <w:tc>
          <w:tcPr>
            <w:tcW w:type="dxa" w:w="2400"/>
            <w:shd w:fill="F2F2F2" w:val="clear"/>
            <w:tcMar>
              <w:top w:type="dxa" w:w="100"/>
              <w:left w:type="dxa" w:w="120"/>
              <w:bottom w:type="dxa" w:w="100"/>
              <w:right w:type="dxa" w:w="120"/>
            </w:tcMar>
          </w:tcPr>
          <w:p>
            <w:pPr>
              <w:jc w:val="left"/>
            </w:pPr>
            <w:r>
              <w:rPr>
                <w:b w:val="false"/>
                <w:bCs w:val="false"/>
                <w:sz w:val="20"/>
                <w:szCs w:val="20"/>
              </w:rPr>
              <w:t>H. Phân bổ giao hàng</w:t>
            </w:r>
          </w:p>
        </w:tc>
        <w:tc>
          <w:tcPr>
            <w:tcW w:type="dxa" w:w="4200"/>
            <w:shd w:fill="F2F2F2" w:val="clear"/>
            <w:tcMar>
              <w:top w:type="dxa" w:w="100"/>
              <w:left w:type="dxa" w:w="120"/>
              <w:bottom w:type="dxa" w:w="100"/>
              <w:right w:type="dxa" w:w="120"/>
            </w:tcMar>
          </w:tcPr>
          <w:p>
            <w:pPr>
              <w:jc w:val="left"/>
            </w:pPr>
            <w:r>
              <w:rPr>
                <w:b w:val="false"/>
                <w:bCs w:val="false"/>
                <w:sz w:val="20"/>
                <w:szCs w:val="20"/>
              </w:rPr>
              <w:t>Nếu 1 kho đủ hàng thì giao thẳng; nếu không đủ thì chia nhỏ đơn hàng từ nhiều kho</w:t>
            </w:r>
          </w:p>
        </w:tc>
        <w:tc>
          <w:tcPr>
            <w:tcW w:type="dxa" w:w="2200"/>
            <w:shd w:fill="F2F2F2" w:val="clear"/>
            <w:tcMar>
              <w:top w:type="dxa" w:w="100"/>
              <w:left w:type="dxa" w:w="120"/>
              <w:bottom w:type="dxa" w:w="100"/>
              <w:right w:type="dxa" w:w="120"/>
            </w:tcMar>
          </w:tcPr>
          <w:p>
            <w:pPr>
              <w:jc w:val="left"/>
            </w:pPr>
            <w:r>
              <w:rPr>
                <w:b w:val="false"/>
                <w:bCs w:val="false"/>
                <w:sz w:val="20"/>
                <w:szCs w:val="20"/>
              </w:rPr>
              <w:t>Câu hỏi 1, 4</w:t>
            </w:r>
          </w:p>
        </w:tc>
      </w:tr>
      <w:tr>
        <w:trPr>
          <w:cantSplit/>
        </w:trPr>
        <w:tc>
          <w:tcPr>
            <w:tcW w:type="dxa" w:w="2400"/>
            <w:tcMar>
              <w:top w:type="dxa" w:w="100"/>
              <w:left w:type="dxa" w:w="120"/>
              <w:bottom w:type="dxa" w:w="100"/>
              <w:right w:type="dxa" w:w="120"/>
            </w:tcMar>
          </w:tcPr>
          <w:p>
            <w:pPr>
              <w:jc w:val="left"/>
            </w:pPr>
            <w:r>
              <w:rPr>
                <w:b w:val="false"/>
                <w:bCs w:val="false"/>
                <w:sz w:val="20"/>
                <w:szCs w:val="20"/>
              </w:rPr>
              <w:t>I. Luân chuyển giữa các kho</w:t>
            </w:r>
          </w:p>
        </w:tc>
        <w:tc>
          <w:tcPr>
            <w:tcW w:type="dxa" w:w="4200"/>
            <w:tcMar>
              <w:top w:type="dxa" w:w="100"/>
              <w:left w:type="dxa" w:w="120"/>
              <w:bottom w:type="dxa" w:w="100"/>
              <w:right w:type="dxa" w:w="120"/>
            </w:tcMar>
          </w:tcPr>
          <w:p>
            <w:pPr>
              <w:jc w:val="left"/>
            </w:pPr>
            <w:r>
              <w:rPr>
                <w:b w:val="false"/>
                <w:bCs w:val="false"/>
                <w:sz w:val="20"/>
                <w:szCs w:val="20"/>
              </w:rPr>
              <w:t>Khi tồn kho giữa các kho mất cân bằng, quyết định chuyển lượng hàng nào, từ đâu, đến đâu, lúc nào</w:t>
            </w:r>
          </w:p>
        </w:tc>
        <w:tc>
          <w:tcPr>
            <w:tcW w:type="dxa" w:w="2200"/>
            <w:tcMar>
              <w:top w:type="dxa" w:w="100"/>
              <w:left w:type="dxa" w:w="120"/>
              <w:bottom w:type="dxa" w:w="100"/>
              <w:right w:type="dxa" w:w="120"/>
            </w:tcMar>
          </w:tcPr>
          <w:p>
            <w:pPr>
              <w:jc w:val="left"/>
            </w:pPr>
            <w:r>
              <w:rPr>
                <w:b w:val="false"/>
                <w:bCs w:val="false"/>
                <w:sz w:val="20"/>
                <w:szCs w:val="20"/>
              </w:rPr>
              <w:t>Câu hỏi 1</w:t>
            </w:r>
          </w:p>
        </w:tc>
      </w:tr>
      <w:tr>
        <w:trPr>
          <w:cantSplit/>
        </w:trPr>
        <w:tc>
          <w:tcPr>
            <w:tcW w:type="dxa" w:w="2400"/>
            <w:shd w:fill="F2F2F2" w:val="clear"/>
            <w:tcMar>
              <w:top w:type="dxa" w:w="100"/>
              <w:left w:type="dxa" w:w="120"/>
              <w:bottom w:type="dxa" w:w="100"/>
              <w:right w:type="dxa" w:w="120"/>
            </w:tcMar>
          </w:tcPr>
          <w:p>
            <w:pPr>
              <w:jc w:val="left"/>
            </w:pPr>
            <w:r>
              <w:rPr>
                <w:b w:val="false"/>
                <w:bCs w:val="false"/>
                <w:sz w:val="20"/>
                <w:szCs w:val="20"/>
              </w:rPr>
              <w:t>J. Đầu ra</w:t>
            </w:r>
          </w:p>
        </w:tc>
        <w:tc>
          <w:tcPr>
            <w:tcW w:type="dxa" w:w="4200"/>
            <w:shd w:fill="F2F2F2" w:val="clear"/>
            <w:tcMar>
              <w:top w:type="dxa" w:w="100"/>
              <w:left w:type="dxa" w:w="120"/>
              <w:bottom w:type="dxa" w:w="100"/>
              <w:right w:type="dxa" w:w="120"/>
            </w:tcMar>
          </w:tcPr>
          <w:p>
            <w:pPr>
              <w:jc w:val="left"/>
            </w:pPr>
            <w:r>
              <w:rPr>
                <w:b w:val="false"/>
                <w:bCs w:val="false"/>
                <w:sz w:val="20"/>
                <w:szCs w:val="20"/>
              </w:rPr>
              <w:t>Kế hoạch phân phối cuối: số lượng theo kho/lô, kế hoạch chia đơn, tuyến đường/chi phí, cờ cảnh báo ràng buộc, để con người rà soát</w:t>
            </w:r>
          </w:p>
        </w:tc>
        <w:tc>
          <w:tcPr>
            <w:tcW w:type="dxa" w:w="2200"/>
            <w:shd w:fill="F2F2F2" w:val="clear"/>
            <w:tcMar>
              <w:top w:type="dxa" w:w="100"/>
              <w:left w:type="dxa" w:w="120"/>
              <w:bottom w:type="dxa" w:w="100"/>
              <w:right w:type="dxa" w:w="120"/>
            </w:tcMar>
          </w:tcPr>
          <w:p>
            <w:pPr>
              <w:jc w:val="left"/>
            </w:pPr>
            <w:r>
              <w:rPr>
                <w:b w:val="false"/>
                <w:bCs w:val="false"/>
                <w:sz w:val="20"/>
                <w:szCs w:val="20"/>
              </w:rPr>
              <w:t>—</w:t>
            </w:r>
          </w:p>
        </w:tc>
      </w:tr>
    </w:tbl>
    <w:p>
      <w:pPr>
        <w:spacing w:after="120"/>
      </w:pPr>
    </w:p>
    <w:p>
      <w:pPr>
        <w:pStyle w:val="Heading1"/>
        <w:spacing w:after="160" w:before="360"/>
      </w:pPr>
      <w:r>
        <w:rPr>
          <w:b/>
          <w:bCs/>
          <w:color w:val="1F3864"/>
          <w:sz w:val="30"/>
          <w:szCs w:val="30"/>
        </w:rPr>
        <w:t>3. PHƯƠNG PHÁP LUẬN CHI TIẾT — TỪNG CÔNG THỨC/MÔ HÌNH</w:t>
      </w:r>
    </w:p>
    <w:p>
      <w:pPr>
        <w:spacing w:after="140" w:line="300"/>
      </w:pPr>
      <w:r>
        <w:rPr>
          <w:sz w:val="22"/>
          <w:szCs w:val="22"/>
        </w:rPr>
        <w:t>Mỗi công thức dưới đây được trình bày theo đúng bốn tiêu chí: Nguồn (dẫn chứng khoa học cụ thể, có DOI), Mục đích (công thức dùng để làm gì), Vấn đề giải quyết (nó xử lý đúng khó khăn nào trong bài toán), và Tại sao chọn (vì sao chọn công thức này thay vì một công thức/phép toán khác).</w:t>
      </w:r>
    </w:p>
    <w:p>
      <w:pPr>
        <w:pStyle w:val="Heading2"/>
        <w:spacing w:after="120" w:before="260"/>
      </w:pPr>
      <w:r>
        <w:rPr>
          <w:b/>
          <w:bCs/>
          <w:color w:val="2E5395"/>
          <w:sz w:val="25"/>
          <w:szCs w:val="25"/>
        </w:rPr>
        <w:t>3.1. Khởi tạo nhu cầu cho nhà bán lẻ mới (cold-start)</w:t>
      </w:r>
    </w:p>
    <w:p>
      <w:pPr>
        <w:spacing w:after="140" w:line="300"/>
      </w:pPr>
      <w:r>
        <w:rPr>
          <w:sz w:val="22"/>
          <w:szCs w:val="22"/>
        </w:rPr>
        <w:t>Khi một nhà bán lẻ mới chưa có lịch sử đặt hàng, hệ thống không có dữ liệu để dự báo nhu cầu. Đây là bài toán "cold-start" kinh điển trong dự báo bán lẻ.</w:t>
      </w:r>
    </w:p>
    <w:tbl>
      <w:tblPr>
        <w:tblW w:type="dxa" w:w="9746"/>
        <w:tblBorders>
          <w:top w:val="single" w:color="1F3864" w:sz="4"/>
          <w:left w:val="single" w:color="1F3864" w:sz="4"/>
          <w:bottom w:val="none"/>
          <w:right w:val="single" w:color="1F3864" w:sz="4"/>
          <w:insideH w:val="none"/>
          <w:insideV w:val="none"/>
        </w:tblBorders>
        <w:tblLayout w:type="fixed"/>
      </w:tblPr>
      <w:tblGrid>
        <w:gridCol w:w="9746"/>
      </w:tblGrid>
      <w:tr>
        <w:trPr>
          <w:cantSplit/>
        </w:trPr>
        <w:tc>
          <w:tcPr>
            <w:tcW w:type="dxa" w:w="9746"/>
            <w:shd w:fill="EAF0FA" w:val="clear"/>
            <w:tcMar>
              <w:top w:type="dxa" w:w="140"/>
              <w:left w:type="dxa" w:w="200"/>
              <w:bottom w:type="dxa" w:w="140"/>
              <w:right w:type="dxa" w:w="200"/>
            </w:tcMar>
          </w:tcPr>
          <w:p>
            <w:r>
              <w:rPr>
                <w:b/>
                <w:bCs/>
                <w:color w:val="1F3864"/>
                <w:sz w:val="20"/>
                <w:szCs w:val="20"/>
              </w:rPr>
              <w:t>Mô hình 1 — Phân cụm cửa hàng tương đồng (peer-store clustering)</w:t>
            </w:r>
          </w:p>
          <w:p>
            <w:pPr>
              <w:spacing w:before="80"/>
            </w:pPr>
            <w:r>
              <w:rPr>
                <w:b/>
                <w:bCs/>
                <w:sz w:val="24"/>
                <w:szCs w:val="24"/>
              </w:rPr>
              <w:t>Nhóm cửa hàng hiện hữu theo dữ liệu bán hàng → gán nhãn cụm → dùng đặc trưng cửa hàng (quy mô, khu vực, loại hình) để phân loại cửa hàng mới vào đúng cụm</w:t>
            </w:r>
          </w:p>
        </w:tc>
      </w:tr>
    </w:tbl>
    <w:p>
      <w:pPr>
        <w:spacing w:after="0" w:before="0"/>
      </w:pPr>
    </w:p>
    <w:tbl>
      <w:tblPr>
        <w:tblW w:type="dxa" w:w="9746"/>
        <w:tblBorders>
          <w:top w:val="none"/>
          <w:left w:val="single" w:color="1F3864" w:sz="4"/>
          <w:bottom w:val="single" w:color="1F3864" w:sz="4"/>
          <w:right w:val="single" w:color="1F3864" w:sz="4"/>
          <w:insideH w:val="single" w:color="C9D6EA" w:sz="2"/>
          <w:insideV w:val="single" w:color="C9D6EA" w:sz="2"/>
        </w:tblBorders>
        <w:tblLayout w:type="fixed"/>
      </w:tblPr>
      <w:tblGrid>
        <w:gridCol w:w="2400"/>
        <w:gridCol w:w="7346"/>
      </w:tblGrid>
      <w:tr>
        <w:trPr>
          <w:cantSplit/>
          <w:tblHeader w:val="true"/>
        </w:trPr>
        <w:tc>
          <w:tcPr>
            <w:tcW w:type="dxa" w:w="2400"/>
            <w:shd w:fill="FFFFFF" w:val="clear"/>
            <w:tcMar>
              <w:top w:type="dxa" w:w="100"/>
              <w:left w:type="dxa" w:w="200"/>
              <w:bottom w:type="dxa" w:w="100"/>
              <w:right w:type="dxa" w:w="120"/>
            </w:tcMar>
          </w:tcPr>
          <w:p>
            <w:r>
              <w:rPr>
                <w:b/>
                <w:bCs/>
                <w:color w:val="2E5395"/>
                <w:sz w:val="19"/>
                <w:szCs w:val="19"/>
              </w:rPr>
              <w:t>Nguồn (dẫn chứng)</w:t>
            </w:r>
          </w:p>
        </w:tc>
        <w:tc>
          <w:tcPr>
            <w:tcW w:type="dxa" w:w="7346"/>
            <w:shd w:fill="FFFFFF" w:val="clear"/>
            <w:tcMar>
              <w:top w:type="dxa" w:w="100"/>
              <w:left w:type="dxa" w:w="120"/>
              <w:bottom w:type="dxa" w:w="100"/>
              <w:right w:type="dxa" w:w="200"/>
            </w:tcMar>
          </w:tcPr>
          <w:p>
            <w:r>
              <w:rPr>
                <w:sz w:val="20"/>
                <w:szCs w:val="20"/>
              </w:rPr>
              <w:t>Yang, C.-L. &amp; Nguyen, T. P. Q. (2022). International Journal of Information Technology &amp; Decision Making, 21(3), 885–910. DOI: 10.1142/S0219622022500079 [R2]</w:t>
            </w:r>
          </w:p>
        </w:tc>
      </w:tr>
      <w:tr>
        <w:trPr>
          <w:cantSplit/>
        </w:trPr>
        <w:tc>
          <w:tcPr>
            <w:tcW w:type="dxa" w:w="2400"/>
            <w:shd w:fill="FFFFFF" w:val="clear"/>
            <w:tcMar>
              <w:top w:type="dxa" w:w="100"/>
              <w:left w:type="dxa" w:w="200"/>
              <w:bottom w:type="dxa" w:w="100"/>
              <w:right w:type="dxa" w:w="120"/>
            </w:tcMar>
          </w:tcPr>
          <w:p>
            <w:r>
              <w:rPr>
                <w:b/>
                <w:bCs/>
                <w:color w:val="2E5395"/>
                <w:sz w:val="19"/>
                <w:szCs w:val="19"/>
              </w:rPr>
              <w:t>Mục đích</w:t>
            </w:r>
          </w:p>
        </w:tc>
        <w:tc>
          <w:tcPr>
            <w:tcW w:type="dxa" w:w="7346"/>
            <w:shd w:fill="FFFFFF" w:val="clear"/>
            <w:tcMar>
              <w:top w:type="dxa" w:w="100"/>
              <w:left w:type="dxa" w:w="120"/>
              <w:bottom w:type="dxa" w:w="100"/>
              <w:right w:type="dxa" w:w="200"/>
            </w:tcMar>
          </w:tcPr>
          <w:p>
            <w:r>
              <w:rPr>
                <w:sz w:val="20"/>
                <w:szCs w:val="20"/>
              </w:rPr>
              <w:t>Ước lượng nhu cầu ban đầu cho một cửa hàng/nhà bán lẻ chưa có lịch sử, dựa trên các cửa hàng "giống" nó.</w:t>
            </w:r>
          </w:p>
        </w:tc>
      </w:tr>
      <w:tr>
        <w:trPr>
          <w:cantSplit/>
        </w:trPr>
        <w:tc>
          <w:tcPr>
            <w:tcW w:type="dxa" w:w="2400"/>
            <w:shd w:fill="FFFFFF" w:val="clear"/>
            <w:tcMar>
              <w:top w:type="dxa" w:w="100"/>
              <w:left w:type="dxa" w:w="200"/>
              <w:bottom w:type="dxa" w:w="100"/>
              <w:right w:type="dxa" w:w="120"/>
            </w:tcMar>
          </w:tcPr>
          <w:p>
            <w:r>
              <w:rPr>
                <w:b/>
                <w:bCs/>
                <w:color w:val="2E5395"/>
                <w:sz w:val="19"/>
                <w:szCs w:val="19"/>
              </w:rPr>
              <w:t>Vấn đề giải quyết</w:t>
            </w:r>
          </w:p>
        </w:tc>
        <w:tc>
          <w:tcPr>
            <w:tcW w:type="dxa" w:w="7346"/>
            <w:shd w:fill="FFFFFF" w:val="clear"/>
            <w:tcMar>
              <w:top w:type="dxa" w:w="100"/>
              <w:left w:type="dxa" w:w="120"/>
              <w:bottom w:type="dxa" w:w="100"/>
              <w:right w:type="dxa" w:w="200"/>
            </w:tcMar>
          </w:tcPr>
          <w:p>
            <w:r>
              <w:rPr>
                <w:sz w:val="20"/>
                <w:szCs w:val="20"/>
              </w:rPr>
              <w:t>Trả lời Câu hỏi 3 (một lô hàng nên vào kho nào) ở giai đoạn sớm nhất: trước khi có dữ liệu thật, hệ thống cần một điểm khởi đầu hợp lý thay vì đặt ngẫu nhiên hoặc để trống.</w:t>
            </w:r>
          </w:p>
        </w:tc>
      </w:tr>
      <w:tr>
        <w:trPr>
          <w:cantSplit/>
        </w:trPr>
        <w:tc>
          <w:tcPr>
            <w:tcW w:type="dxa" w:w="2400"/>
            <w:shd w:fill="FFFFFF" w:val="clear"/>
            <w:tcMar>
              <w:top w:type="dxa" w:w="100"/>
              <w:left w:type="dxa" w:w="200"/>
              <w:bottom w:type="dxa" w:w="100"/>
              <w:right w:type="dxa" w:w="120"/>
            </w:tcMar>
          </w:tcPr>
          <w:p>
            <w:r>
              <w:rPr>
                <w:b/>
                <w:bCs/>
                <w:color w:val="2E5395"/>
                <w:sz w:val="19"/>
                <w:szCs w:val="19"/>
              </w:rPr>
              <w:t>Tại sao chọn công thức này</w:t>
            </w:r>
          </w:p>
        </w:tc>
        <w:tc>
          <w:tcPr>
            <w:tcW w:type="dxa" w:w="7346"/>
            <w:shd w:fill="FFFFFF" w:val="clear"/>
            <w:tcMar>
              <w:top w:type="dxa" w:w="100"/>
              <w:left w:type="dxa" w:w="120"/>
              <w:bottom w:type="dxa" w:w="100"/>
              <w:right w:type="dxa" w:w="200"/>
            </w:tcMar>
          </w:tcPr>
          <w:p>
            <w:r>
              <w:rPr>
                <w:sz w:val="20"/>
                <w:szCs w:val="20"/>
              </w:rPr>
              <w:t>Đây là phương pháp phân cụm + phân loại đã qua bình duyệt, xây dựng trực tiếp trên dữ liệu điểm bán (POS) — phù hợp hơn so với việc tự đặt một ngưỡng nhu cầu trung bình toàn hệ thống (không có căn cứ) hoặc bỏ qua bước này (rủi ro tồn kho sai ngay từ đầu).</w:t>
            </w:r>
          </w:p>
        </w:tc>
      </w:tr>
      <w:tr>
        <w:trPr>
          <w:cantSplit/>
        </w:trPr>
        <w:tc>
          <w:tcPr>
            <w:tcW w:type="dxa" w:w="2400"/>
            <w:shd w:fill="FFFFFF" w:val="clear"/>
            <w:tcMar>
              <w:top w:type="dxa" w:w="100"/>
              <w:left w:type="dxa" w:w="200"/>
              <w:bottom w:type="dxa" w:w="100"/>
              <w:right w:type="dxa" w:w="120"/>
            </w:tcMar>
          </w:tcPr>
          <w:p>
            <w:r>
              <w:rPr>
                <w:b/>
                <w:bCs/>
                <w:color w:val="2E5395"/>
                <w:sz w:val="19"/>
                <w:szCs w:val="19"/>
              </w:rPr>
              <w:t>Giới hạn / không được claim</w:t>
            </w:r>
          </w:p>
        </w:tc>
        <w:tc>
          <w:tcPr>
            <w:tcW w:type="dxa" w:w="7346"/>
            <w:shd w:fill="FFFFFF" w:val="clear"/>
            <w:tcMar>
              <w:top w:type="dxa" w:w="100"/>
              <w:left w:type="dxa" w:w="120"/>
              <w:bottom w:type="dxa" w:w="100"/>
              <w:right w:type="dxa" w:w="200"/>
            </w:tcMar>
          </w:tcPr>
          <w:p>
            <w:r>
              <w:rPr>
                <w:sz w:val="20"/>
                <w:szCs w:val="20"/>
              </w:rPr>
              <w:t>Không tạo ra nhu cầu chính xác theo từng SKU cho cửa hàng hoàn toàn mới; chỉ là điểm khởi đầu có căn cứ, cần con người xác nhận.</w:t>
            </w:r>
          </w:p>
        </w:tc>
      </w:tr>
    </w:tbl>
    <w:p>
      <w:pPr>
        <w:spacing w:after="80"/>
      </w:pPr>
    </w:p>
    <w:tbl>
      <w:tblPr>
        <w:tblW w:type="dxa" w:w="9746"/>
        <w:tblBorders>
          <w:top w:val="single" w:color="1F3864" w:sz="4"/>
          <w:left w:val="single" w:color="1F3864" w:sz="4"/>
          <w:bottom w:val="none"/>
          <w:right w:val="single" w:color="1F3864" w:sz="4"/>
          <w:insideH w:val="none"/>
          <w:insideV w:val="none"/>
        </w:tblBorders>
        <w:tblLayout w:type="fixed"/>
      </w:tblPr>
      <w:tblGrid>
        <w:gridCol w:w="9746"/>
      </w:tblGrid>
      <w:tr>
        <w:trPr>
          <w:cantSplit/>
        </w:trPr>
        <w:tc>
          <w:tcPr>
            <w:tcW w:type="dxa" w:w="9746"/>
            <w:shd w:fill="EAF0FA" w:val="clear"/>
            <w:tcMar>
              <w:top w:type="dxa" w:w="140"/>
              <w:left w:type="dxa" w:w="200"/>
              <w:bottom w:type="dxa" w:w="140"/>
              <w:right w:type="dxa" w:w="200"/>
            </w:tcMar>
          </w:tcPr>
          <w:p>
            <w:r>
              <w:rPr>
                <w:b/>
                <w:bCs/>
                <w:color w:val="1F3864"/>
                <w:sz w:val="20"/>
                <w:szCs w:val="20"/>
              </w:rPr>
              <w:t>Mô hình 2 — Con người xác nhận trước khi chốt đơn đầu tiên (human-in-the-loop)</w:t>
            </w:r>
          </w:p>
          <w:p>
            <w:pPr>
              <w:spacing w:before="80"/>
            </w:pPr>
            <w:r>
              <w:rPr>
                <w:b/>
                <w:bCs/>
                <w:sz w:val="24"/>
                <w:szCs w:val="24"/>
              </w:rPr>
              <w:t>Gợi ý hệ thống + kiểm tra tồn kho thực tế + bối cảnh (chương trình bán hàng, quy mô cửa hàng) → Sales xác nhận với nhà bán lẻ → chốt đơn</w:t>
            </w:r>
          </w:p>
        </w:tc>
      </w:tr>
    </w:tbl>
    <w:p>
      <w:pPr>
        <w:spacing w:after="0" w:before="0"/>
      </w:pPr>
    </w:p>
    <w:tbl>
      <w:tblPr>
        <w:tblW w:type="dxa" w:w="9746"/>
        <w:tblBorders>
          <w:top w:val="none"/>
          <w:left w:val="single" w:color="1F3864" w:sz="4"/>
          <w:bottom w:val="single" w:color="1F3864" w:sz="4"/>
          <w:right w:val="single" w:color="1F3864" w:sz="4"/>
          <w:insideH w:val="single" w:color="C9D6EA" w:sz="2"/>
          <w:insideV w:val="single" w:color="C9D6EA" w:sz="2"/>
        </w:tblBorders>
        <w:tblLayout w:type="fixed"/>
      </w:tblPr>
      <w:tblGrid>
        <w:gridCol w:w="2400"/>
        <w:gridCol w:w="7346"/>
      </w:tblGrid>
      <w:tr>
        <w:trPr>
          <w:cantSplit/>
          <w:tblHeader w:val="true"/>
        </w:trPr>
        <w:tc>
          <w:tcPr>
            <w:tcW w:type="dxa" w:w="2400"/>
            <w:shd w:fill="FFFFFF" w:val="clear"/>
            <w:tcMar>
              <w:top w:type="dxa" w:w="100"/>
              <w:left w:type="dxa" w:w="200"/>
              <w:bottom w:type="dxa" w:w="100"/>
              <w:right w:type="dxa" w:w="120"/>
            </w:tcMar>
          </w:tcPr>
          <w:p>
            <w:r>
              <w:rPr>
                <w:b/>
                <w:bCs/>
                <w:color w:val="2E5395"/>
                <w:sz w:val="19"/>
                <w:szCs w:val="19"/>
              </w:rPr>
              <w:t>Nguồn (dẫn chứng)</w:t>
            </w:r>
          </w:p>
        </w:tc>
        <w:tc>
          <w:tcPr>
            <w:tcW w:type="dxa" w:w="7346"/>
            <w:shd w:fill="FFFFFF" w:val="clear"/>
            <w:tcMar>
              <w:top w:type="dxa" w:w="100"/>
              <w:left w:type="dxa" w:w="120"/>
              <w:bottom w:type="dxa" w:w="100"/>
              <w:right w:type="dxa" w:w="200"/>
            </w:tcMar>
          </w:tcPr>
          <w:p>
            <w:r>
              <w:rPr>
                <w:sz w:val="20"/>
                <w:szCs w:val="20"/>
              </w:rPr>
              <w:t>Fildes, R., Goodwin, P., Lawrence, M. &amp; Nikolopoulos, K. (2009). International Journal of Forecasting, 25(1), 3–23. DOI: 10.1016/j.ijforecast.2008.11.010 [R1]</w:t>
            </w:r>
          </w:p>
        </w:tc>
      </w:tr>
      <w:tr>
        <w:trPr>
          <w:cantSplit/>
        </w:trPr>
        <w:tc>
          <w:tcPr>
            <w:tcW w:type="dxa" w:w="2400"/>
            <w:shd w:fill="FFFFFF" w:val="clear"/>
            <w:tcMar>
              <w:top w:type="dxa" w:w="100"/>
              <w:left w:type="dxa" w:w="200"/>
              <w:bottom w:type="dxa" w:w="100"/>
              <w:right w:type="dxa" w:w="120"/>
            </w:tcMar>
          </w:tcPr>
          <w:p>
            <w:r>
              <w:rPr>
                <w:b/>
                <w:bCs/>
                <w:color w:val="2E5395"/>
                <w:sz w:val="19"/>
                <w:szCs w:val="19"/>
              </w:rPr>
              <w:t>Mục đích</w:t>
            </w:r>
          </w:p>
        </w:tc>
        <w:tc>
          <w:tcPr>
            <w:tcW w:type="dxa" w:w="7346"/>
            <w:shd w:fill="FFFFFF" w:val="clear"/>
            <w:tcMar>
              <w:top w:type="dxa" w:w="100"/>
              <w:left w:type="dxa" w:w="120"/>
              <w:bottom w:type="dxa" w:w="100"/>
              <w:right w:type="dxa" w:w="200"/>
            </w:tcMar>
          </w:tcPr>
          <w:p>
            <w:r>
              <w:rPr>
                <w:sz w:val="20"/>
                <w:szCs w:val="20"/>
              </w:rPr>
              <w:t>Xác định vai trò và giới hạn của việc con người điều chỉnh dự báo máy tính.</w:t>
            </w:r>
          </w:p>
        </w:tc>
      </w:tr>
      <w:tr>
        <w:trPr>
          <w:cantSplit/>
        </w:trPr>
        <w:tc>
          <w:tcPr>
            <w:tcW w:type="dxa" w:w="2400"/>
            <w:shd w:fill="FFFFFF" w:val="clear"/>
            <w:tcMar>
              <w:top w:type="dxa" w:w="100"/>
              <w:left w:type="dxa" w:w="200"/>
              <w:bottom w:type="dxa" w:w="100"/>
              <w:right w:type="dxa" w:w="120"/>
            </w:tcMar>
          </w:tcPr>
          <w:p>
            <w:r>
              <w:rPr>
                <w:b/>
                <w:bCs/>
                <w:color w:val="2E5395"/>
                <w:sz w:val="19"/>
                <w:szCs w:val="19"/>
              </w:rPr>
              <w:t>Vấn đề giải quyết</w:t>
            </w:r>
          </w:p>
        </w:tc>
        <w:tc>
          <w:tcPr>
            <w:tcW w:type="dxa" w:w="7346"/>
            <w:shd w:fill="FFFFFF" w:val="clear"/>
            <w:tcMar>
              <w:top w:type="dxa" w:w="100"/>
              <w:left w:type="dxa" w:w="120"/>
              <w:bottom w:type="dxa" w:w="100"/>
              <w:right w:type="dxa" w:w="200"/>
            </w:tcMar>
          </w:tcPr>
          <w:p>
            <w:r>
              <w:rPr>
                <w:sz w:val="20"/>
                <w:szCs w:val="20"/>
              </w:rPr>
              <w:t>Tránh rủi ro hệ thống tự động chốt đơn hàng đầu tiên mà không có kiểm tra — vì mô hình dự báo không có đủ thông tin theo ngữ cảnh (ví dụ: cửa hàng mới khai trương có chương trình khuyến mãi riêng).</w:t>
            </w:r>
          </w:p>
        </w:tc>
      </w:tr>
      <w:tr>
        <w:trPr>
          <w:cantSplit/>
        </w:trPr>
        <w:tc>
          <w:tcPr>
            <w:tcW w:type="dxa" w:w="2400"/>
            <w:shd w:fill="FFFFFF" w:val="clear"/>
            <w:tcMar>
              <w:top w:type="dxa" w:w="100"/>
              <w:left w:type="dxa" w:w="200"/>
              <w:bottom w:type="dxa" w:w="100"/>
              <w:right w:type="dxa" w:w="120"/>
            </w:tcMar>
          </w:tcPr>
          <w:p>
            <w:r>
              <w:rPr>
                <w:b/>
                <w:bCs/>
                <w:color w:val="2E5395"/>
                <w:sz w:val="19"/>
                <w:szCs w:val="19"/>
              </w:rPr>
              <w:t>Tại sao chọn công thức này</w:t>
            </w:r>
          </w:p>
        </w:tc>
        <w:tc>
          <w:tcPr>
            <w:tcW w:type="dxa" w:w="7346"/>
            <w:shd w:fill="FFFFFF" w:val="clear"/>
            <w:tcMar>
              <w:top w:type="dxa" w:w="100"/>
              <w:left w:type="dxa" w:w="120"/>
              <w:bottom w:type="dxa" w:w="100"/>
              <w:right w:type="dxa" w:w="200"/>
            </w:tcMar>
          </w:tcPr>
          <w:p>
            <w:r>
              <w:rPr>
                <w:sz w:val="20"/>
                <w:szCs w:val="20"/>
              </w:rPr>
              <w:t>Nghiên cứu trên hơn 60.000 dự báo tại 4 doanh nghiệp chuỗi cung ứng cho thấy điều chỉnh của con người cải thiện độ chính xác ở 3/4 doanh nghiệp — nhưng các điều chỉnh nhỏ/tuỳ hứng lại làm giảm độ chính xác. Do đó công thức áp dụng là "con người xác nhận có ghi log lý do", KHÔNG phải "con người luôn đúng" — đây là căn cứ để yêu cầu lưu log và benchmark override thay vì tin tưởng tuyệt đối vào cả hai phía (máy hoặc người).</w:t>
            </w:r>
          </w:p>
        </w:tc>
      </w:tr>
      <w:tr>
        <w:trPr>
          <w:cantSplit/>
        </w:trPr>
        <w:tc>
          <w:tcPr>
            <w:tcW w:type="dxa" w:w="2400"/>
            <w:shd w:fill="FFFFFF" w:val="clear"/>
            <w:tcMar>
              <w:top w:type="dxa" w:w="100"/>
              <w:left w:type="dxa" w:w="200"/>
              <w:bottom w:type="dxa" w:w="100"/>
              <w:right w:type="dxa" w:w="120"/>
            </w:tcMar>
          </w:tcPr>
          <w:p>
            <w:r>
              <w:rPr>
                <w:b/>
                <w:bCs/>
                <w:color w:val="2E5395"/>
                <w:sz w:val="19"/>
                <w:szCs w:val="19"/>
              </w:rPr>
              <w:t>Giới hạn / không được claim</w:t>
            </w:r>
          </w:p>
        </w:tc>
        <w:tc>
          <w:tcPr>
            <w:tcW w:type="dxa" w:w="7346"/>
            <w:shd w:fill="FFFFFF" w:val="clear"/>
            <w:tcMar>
              <w:top w:type="dxa" w:w="100"/>
              <w:left w:type="dxa" w:w="120"/>
              <w:bottom w:type="dxa" w:w="100"/>
              <w:right w:type="dxa" w:w="200"/>
            </w:tcMar>
          </w:tcPr>
          <w:p>
            <w:r>
              <w:rPr>
                <w:sz w:val="20"/>
                <w:szCs w:val="20"/>
              </w:rPr>
              <w:t>Đơn hàng đầu tiên là quyết định thương lượng (negotiated decision), không được ghi nhận như nhu cầu thật (true demand) cho các lần dự báo sau.</w:t>
            </w:r>
          </w:p>
        </w:tc>
      </w:tr>
    </w:tbl>
    <w:p>
      <w:pPr>
        <w:spacing w:after="120"/>
      </w:pPr>
    </w:p>
    <w:p>
      <w:pPr>
        <w:pStyle w:val="Heading2"/>
        <w:spacing w:after="120" w:before="260"/>
      </w:pPr>
      <w:r>
        <w:rPr>
          <w:b/>
          <w:bCs/>
          <w:color w:val="2E5395"/>
          <w:sz w:val="25"/>
          <w:szCs w:val="25"/>
        </w:rPr>
        <w:t>3.2. Học nhu cầu tuần tự theo chu kỳ đặt hàng</w:t>
      </w:r>
    </w:p>
    <w:tbl>
      <w:tblPr>
        <w:tblW w:type="dxa" w:w="9746"/>
        <w:tblBorders>
          <w:top w:val="single" w:color="1F3864" w:sz="4"/>
          <w:left w:val="single" w:color="1F3864" w:sz="4"/>
          <w:bottom w:val="none"/>
          <w:right w:val="single" w:color="1F3864" w:sz="4"/>
          <w:insideH w:val="none"/>
          <w:insideV w:val="none"/>
        </w:tblBorders>
        <w:tblLayout w:type="fixed"/>
      </w:tblPr>
      <w:tblGrid>
        <w:gridCol w:w="9746"/>
      </w:tblGrid>
      <w:tr>
        <w:trPr>
          <w:cantSplit/>
        </w:trPr>
        <w:tc>
          <w:tcPr>
            <w:tcW w:type="dxa" w:w="9746"/>
            <w:shd w:fill="EAF0FA" w:val="clear"/>
            <w:tcMar>
              <w:top w:type="dxa" w:w="140"/>
              <w:left w:type="dxa" w:w="200"/>
              <w:bottom w:type="dxa" w:w="140"/>
              <w:right w:type="dxa" w:w="200"/>
            </w:tcMar>
          </w:tcPr>
          <w:p>
            <w:r>
              <w:rPr>
                <w:b/>
                <w:bCs/>
                <w:color w:val="1F3864"/>
                <w:sz w:val="20"/>
                <w:szCs w:val="20"/>
              </w:rPr>
              <w:t>Mô hình 3 — Cập nhật nhu cầu tuần tự bằng phương pháp Bayes</w:t>
            </w:r>
          </w:p>
          <w:p>
            <w:pPr>
              <w:spacing w:before="80"/>
            </w:pPr>
            <w:r>
              <w:rPr>
                <w:b/>
                <w:bCs/>
                <w:sz w:val="24"/>
                <w:szCs w:val="24"/>
              </w:rPr>
              <w:t>Tham số nhu cầu chưa biết được cập nhật định kỳ bằng phương pháp Bayes, dựa trên dữ liệu bán hàng lịch sử bị che khuất một phần (censored — không quan sát được lượng bán mất do hết hàng)</w:t>
            </w:r>
          </w:p>
        </w:tc>
      </w:tr>
    </w:tbl>
    <w:p>
      <w:pPr>
        <w:spacing w:after="0" w:before="0"/>
      </w:pPr>
    </w:p>
    <w:tbl>
      <w:tblPr>
        <w:tblW w:type="dxa" w:w="9746"/>
        <w:tblBorders>
          <w:top w:val="none"/>
          <w:left w:val="single" w:color="1F3864" w:sz="4"/>
          <w:bottom w:val="single" w:color="1F3864" w:sz="4"/>
          <w:right w:val="single" w:color="1F3864" w:sz="4"/>
          <w:insideH w:val="single" w:color="C9D6EA" w:sz="2"/>
          <w:insideV w:val="single" w:color="C9D6EA" w:sz="2"/>
        </w:tblBorders>
        <w:tblLayout w:type="fixed"/>
      </w:tblPr>
      <w:tblGrid>
        <w:gridCol w:w="2400"/>
        <w:gridCol w:w="7346"/>
      </w:tblGrid>
      <w:tr>
        <w:trPr>
          <w:cantSplit/>
          <w:tblHeader w:val="true"/>
        </w:trPr>
        <w:tc>
          <w:tcPr>
            <w:tcW w:type="dxa" w:w="2400"/>
            <w:shd w:fill="FFFFFF" w:val="clear"/>
            <w:tcMar>
              <w:top w:type="dxa" w:w="100"/>
              <w:left w:type="dxa" w:w="200"/>
              <w:bottom w:type="dxa" w:w="100"/>
              <w:right w:type="dxa" w:w="120"/>
            </w:tcMar>
          </w:tcPr>
          <w:p>
            <w:r>
              <w:rPr>
                <w:b/>
                <w:bCs/>
                <w:color w:val="2E5395"/>
                <w:sz w:val="19"/>
                <w:szCs w:val="19"/>
              </w:rPr>
              <w:t>Nguồn (dẫn chứng)</w:t>
            </w:r>
          </w:p>
        </w:tc>
        <w:tc>
          <w:tcPr>
            <w:tcW w:type="dxa" w:w="7346"/>
            <w:shd w:fill="FFFFFF" w:val="clear"/>
            <w:tcMar>
              <w:top w:type="dxa" w:w="100"/>
              <w:left w:type="dxa" w:w="120"/>
              <w:bottom w:type="dxa" w:w="100"/>
              <w:right w:type="dxa" w:w="200"/>
            </w:tcMar>
          </w:tcPr>
          <w:p>
            <w:r>
              <w:rPr>
                <w:sz w:val="20"/>
                <w:szCs w:val="20"/>
              </w:rPr>
              <w:t>Lu, X., Song, J.-S. &amp; Zhu, K. (2008). Operations Research, 56(4), 1034–1038. DOI: 10.1287/opre.1080.0553 [R3]</w:t>
            </w:r>
          </w:p>
        </w:tc>
      </w:tr>
      <w:tr>
        <w:trPr>
          <w:cantSplit/>
        </w:trPr>
        <w:tc>
          <w:tcPr>
            <w:tcW w:type="dxa" w:w="2400"/>
            <w:shd w:fill="FFFFFF" w:val="clear"/>
            <w:tcMar>
              <w:top w:type="dxa" w:w="100"/>
              <w:left w:type="dxa" w:w="200"/>
              <w:bottom w:type="dxa" w:w="100"/>
              <w:right w:type="dxa" w:w="120"/>
            </w:tcMar>
          </w:tcPr>
          <w:p>
            <w:r>
              <w:rPr>
                <w:b/>
                <w:bCs/>
                <w:color w:val="2E5395"/>
                <w:sz w:val="19"/>
                <w:szCs w:val="19"/>
              </w:rPr>
              <w:t>Mục đích</w:t>
            </w:r>
          </w:p>
        </w:tc>
        <w:tc>
          <w:tcPr>
            <w:tcW w:type="dxa" w:w="7346"/>
            <w:shd w:fill="FFFFFF" w:val="clear"/>
            <w:tcMar>
              <w:top w:type="dxa" w:w="100"/>
              <w:left w:type="dxa" w:w="120"/>
              <w:bottom w:type="dxa" w:w="100"/>
              <w:right w:type="dxa" w:w="200"/>
            </w:tcMar>
          </w:tcPr>
          <w:p>
            <w:r>
              <w:rPr>
                <w:sz w:val="20"/>
                <w:szCs w:val="20"/>
              </w:rPr>
              <w:t>Cải thiện dần độ chính xác của ước lượng nhu cầu sau mỗi chu kỳ đặt hàng (ví dụ mỗi tuần), khi dữ liệu quan sát được không đầy đủ.</w:t>
            </w:r>
          </w:p>
        </w:tc>
      </w:tr>
      <w:tr>
        <w:trPr>
          <w:cantSplit/>
        </w:trPr>
        <w:tc>
          <w:tcPr>
            <w:tcW w:type="dxa" w:w="2400"/>
            <w:shd w:fill="FFFFFF" w:val="clear"/>
            <w:tcMar>
              <w:top w:type="dxa" w:w="100"/>
              <w:left w:type="dxa" w:w="200"/>
              <w:bottom w:type="dxa" w:w="100"/>
              <w:right w:type="dxa" w:w="120"/>
            </w:tcMar>
          </w:tcPr>
          <w:p>
            <w:r>
              <w:rPr>
                <w:b/>
                <w:bCs/>
                <w:color w:val="2E5395"/>
                <w:sz w:val="19"/>
                <w:szCs w:val="19"/>
              </w:rPr>
              <w:t>Vấn đề giải quyết</w:t>
            </w:r>
          </w:p>
        </w:tc>
        <w:tc>
          <w:tcPr>
            <w:tcW w:type="dxa" w:w="7346"/>
            <w:shd w:fill="FFFFFF" w:val="clear"/>
            <w:tcMar>
              <w:top w:type="dxa" w:w="100"/>
              <w:left w:type="dxa" w:w="120"/>
              <w:bottom w:type="dxa" w:w="100"/>
              <w:right w:type="dxa" w:w="200"/>
            </w:tcMar>
          </w:tcPr>
          <w:p>
            <w:r>
              <w:rPr>
                <w:sz w:val="20"/>
                <w:szCs w:val="20"/>
              </w:rPr>
              <w:t>Trả lời phần còn lại của Câu hỏi 3: "khách hàng đặt hàng theo tuần thì hệ thống phản ứng ra sao" — hệ thống không dùng số liệu đặt hàng cố định, mà liên tục cập nhật lại ước lượng nhu cầu sau mỗi tuần có dữ liệu mới.</w:t>
            </w:r>
          </w:p>
        </w:tc>
      </w:tr>
      <w:tr>
        <w:trPr>
          <w:cantSplit/>
        </w:trPr>
        <w:tc>
          <w:tcPr>
            <w:tcW w:type="dxa" w:w="2400"/>
            <w:shd w:fill="FFFFFF" w:val="clear"/>
            <w:tcMar>
              <w:top w:type="dxa" w:w="100"/>
              <w:left w:type="dxa" w:w="200"/>
              <w:bottom w:type="dxa" w:w="100"/>
              <w:right w:type="dxa" w:w="120"/>
            </w:tcMar>
          </w:tcPr>
          <w:p>
            <w:r>
              <w:rPr>
                <w:b/>
                <w:bCs/>
                <w:color w:val="2E5395"/>
                <w:sz w:val="19"/>
                <w:szCs w:val="19"/>
              </w:rPr>
              <w:t>Tại sao chọn công thức này</w:t>
            </w:r>
          </w:p>
        </w:tc>
        <w:tc>
          <w:tcPr>
            <w:tcW w:type="dxa" w:w="7346"/>
            <w:shd w:fill="FFFFFF" w:val="clear"/>
            <w:tcMar>
              <w:top w:type="dxa" w:w="100"/>
              <w:left w:type="dxa" w:w="120"/>
              <w:bottom w:type="dxa" w:w="100"/>
              <w:right w:type="dxa" w:w="200"/>
            </w:tcMar>
          </w:tcPr>
          <w:p>
            <w:r>
              <w:rPr>
                <w:sz w:val="20"/>
                <w:szCs w:val="20"/>
              </w:rPr>
              <w:t>Đây là một trong số ít nghiên cứu xử lý đúng tình huống "nhu cầu bị che khuất" (không biết được bao nhiêu nhu cầu bị mất do hết hàng) trong hệ thống tồn kho hàng dễ hỏng — sát với thực tế vận hành hơn so với giả định "toàn bộ dữ liệu đặt hàng = nhu cầu thật", đăng trên Operations Research, tạp chí hàng đầu của INFORMS.</w:t>
            </w:r>
          </w:p>
        </w:tc>
      </w:tr>
      <w:tr>
        <w:trPr>
          <w:cantSplit/>
        </w:trPr>
        <w:tc>
          <w:tcPr>
            <w:tcW w:type="dxa" w:w="2400"/>
            <w:shd w:fill="FFFFFF" w:val="clear"/>
            <w:tcMar>
              <w:top w:type="dxa" w:w="100"/>
              <w:left w:type="dxa" w:w="200"/>
              <w:bottom w:type="dxa" w:w="100"/>
              <w:right w:type="dxa" w:w="120"/>
            </w:tcMar>
          </w:tcPr>
          <w:p>
            <w:r>
              <w:rPr>
                <w:b/>
                <w:bCs/>
                <w:color w:val="2E5395"/>
                <w:sz w:val="19"/>
                <w:szCs w:val="19"/>
              </w:rPr>
              <w:t>Giới hạn / không được claim</w:t>
            </w:r>
          </w:p>
        </w:tc>
        <w:tc>
          <w:tcPr>
            <w:tcW w:type="dxa" w:w="7346"/>
            <w:shd w:fill="FFFFFF" w:val="clear"/>
            <w:tcMar>
              <w:top w:type="dxa" w:w="100"/>
              <w:left w:type="dxa" w:w="120"/>
              <w:bottom w:type="dxa" w:w="100"/>
              <w:right w:type="dxa" w:w="200"/>
            </w:tcMar>
          </w:tcPr>
          <w:p>
            <w:r>
              <w:rPr>
                <w:sz w:val="20"/>
                <w:szCs w:val="20"/>
              </w:rPr>
              <w:t>Không được đồng nhất số lượng đặt hàng của nhà bán lẻ với doanh số bán thực tế cho người tiêu dùng cuối; mô hình quan sát cần được hiệu chỉnh (calibrate) bằng dữ liệu thật trước khi tin cậy hoàn toàn.</w:t>
            </w:r>
          </w:p>
        </w:tc>
      </w:tr>
    </w:tbl>
    <w:p>
      <w:pPr>
        <w:spacing w:after="80"/>
      </w:pPr>
    </w:p>
    <w:tbl>
      <w:tblPr>
        <w:tblW w:type="dxa" w:w="9746"/>
        <w:tblBorders>
          <w:top w:val="single" w:color="1F3864" w:sz="4"/>
          <w:left w:val="single" w:color="1F3864" w:sz="4"/>
          <w:bottom w:val="none"/>
          <w:right w:val="single" w:color="1F3864" w:sz="4"/>
          <w:insideH w:val="none"/>
          <w:insideV w:val="none"/>
        </w:tblBorders>
        <w:tblLayout w:type="fixed"/>
      </w:tblPr>
      <w:tblGrid>
        <w:gridCol w:w="9746"/>
      </w:tblGrid>
      <w:tr>
        <w:trPr>
          <w:cantSplit/>
        </w:trPr>
        <w:tc>
          <w:tcPr>
            <w:tcW w:type="dxa" w:w="9746"/>
            <w:shd w:fill="EAF0FA" w:val="clear"/>
            <w:tcMar>
              <w:top w:type="dxa" w:w="140"/>
              <w:left w:type="dxa" w:w="200"/>
              <w:bottom w:type="dxa" w:w="140"/>
              <w:right w:type="dxa" w:w="200"/>
            </w:tcMar>
          </w:tcPr>
          <w:p>
            <w:r>
              <w:rPr>
                <w:b/>
                <w:bCs/>
                <w:color w:val="1F3864"/>
                <w:sz w:val="20"/>
                <w:szCs w:val="20"/>
              </w:rPr>
              <w:t>Mô hình 4 — Chu kỳ ghé thăm và tồn kho an toàn (visit interval &amp; safety stock)</w:t>
            </w:r>
          </w:p>
          <w:p>
            <w:pPr>
              <w:spacing w:before="80"/>
            </w:pPr>
            <w:r>
              <w:rPr>
                <w:b/>
                <w:bCs/>
                <w:sz w:val="24"/>
                <w:szCs w:val="24"/>
              </w:rPr>
              <w:t>Nhà phân phối ghé thăm nhà bán lẻ theo chu kỳ cố định, nhận đơn, giao hàng sau thời gian chờ (lead time); tồn kho an toàn được tính dưới nhu cầu ngẫu nhiên và có ràng buộc hạn sử dụng còn lại tối thiểu</w:t>
            </w:r>
          </w:p>
        </w:tc>
      </w:tr>
    </w:tbl>
    <w:p>
      <w:pPr>
        <w:spacing w:after="0" w:before="0"/>
      </w:pPr>
    </w:p>
    <w:tbl>
      <w:tblPr>
        <w:tblW w:type="dxa" w:w="9746"/>
        <w:tblBorders>
          <w:top w:val="none"/>
          <w:left w:val="single" w:color="1F3864" w:sz="4"/>
          <w:bottom w:val="single" w:color="1F3864" w:sz="4"/>
          <w:right w:val="single" w:color="1F3864" w:sz="4"/>
          <w:insideH w:val="single" w:color="C9D6EA" w:sz="2"/>
          <w:insideV w:val="single" w:color="C9D6EA" w:sz="2"/>
        </w:tblBorders>
        <w:tblLayout w:type="fixed"/>
      </w:tblPr>
      <w:tblGrid>
        <w:gridCol w:w="2400"/>
        <w:gridCol w:w="7346"/>
      </w:tblGrid>
      <w:tr>
        <w:trPr>
          <w:cantSplit/>
          <w:tblHeader w:val="true"/>
        </w:trPr>
        <w:tc>
          <w:tcPr>
            <w:tcW w:type="dxa" w:w="2400"/>
            <w:shd w:fill="FFFFFF" w:val="clear"/>
            <w:tcMar>
              <w:top w:type="dxa" w:w="100"/>
              <w:left w:type="dxa" w:w="200"/>
              <w:bottom w:type="dxa" w:w="100"/>
              <w:right w:type="dxa" w:w="120"/>
            </w:tcMar>
          </w:tcPr>
          <w:p>
            <w:r>
              <w:rPr>
                <w:b/>
                <w:bCs/>
                <w:color w:val="2E5395"/>
                <w:sz w:val="19"/>
                <w:szCs w:val="19"/>
              </w:rPr>
              <w:t>Nguồn (dẫn chứng)</w:t>
            </w:r>
          </w:p>
        </w:tc>
        <w:tc>
          <w:tcPr>
            <w:tcW w:type="dxa" w:w="7346"/>
            <w:shd w:fill="FFFFFF" w:val="clear"/>
            <w:tcMar>
              <w:top w:type="dxa" w:w="100"/>
              <w:left w:type="dxa" w:w="120"/>
              <w:bottom w:type="dxa" w:w="100"/>
              <w:right w:type="dxa" w:w="200"/>
            </w:tcMar>
          </w:tcPr>
          <w:p>
            <w:r>
              <w:rPr>
                <w:sz w:val="20"/>
                <w:szCs w:val="20"/>
              </w:rPr>
              <w:t>Nematollahi, M., Hosseini-Motlagh, S. M., Cárdenas-Barrón, L. E. &amp; Tiwari, S. (2022). Computers &amp; Operations Research, 139, 105651. DOI: 10.1016/j.cor.2021.105651 [R6]</w:t>
            </w:r>
          </w:p>
        </w:tc>
      </w:tr>
      <w:tr>
        <w:trPr>
          <w:cantSplit/>
        </w:trPr>
        <w:tc>
          <w:tcPr>
            <w:tcW w:type="dxa" w:w="2400"/>
            <w:shd w:fill="FFFFFF" w:val="clear"/>
            <w:tcMar>
              <w:top w:type="dxa" w:w="100"/>
              <w:left w:type="dxa" w:w="200"/>
              <w:bottom w:type="dxa" w:w="100"/>
              <w:right w:type="dxa" w:w="120"/>
            </w:tcMar>
          </w:tcPr>
          <w:p>
            <w:r>
              <w:rPr>
                <w:b/>
                <w:bCs/>
                <w:color w:val="2E5395"/>
                <w:sz w:val="19"/>
                <w:szCs w:val="19"/>
              </w:rPr>
              <w:t>Mục đích</w:t>
            </w:r>
          </w:p>
        </w:tc>
        <w:tc>
          <w:tcPr>
            <w:tcW w:type="dxa" w:w="7346"/>
            <w:shd w:fill="FFFFFF" w:val="clear"/>
            <w:tcMar>
              <w:top w:type="dxa" w:w="100"/>
              <w:left w:type="dxa" w:w="120"/>
              <w:bottom w:type="dxa" w:w="100"/>
              <w:right w:type="dxa" w:w="200"/>
            </w:tcMar>
          </w:tcPr>
          <w:p>
            <w:r>
              <w:rPr>
                <w:sz w:val="20"/>
                <w:szCs w:val="20"/>
              </w:rPr>
              <w:t>Mô hình hoá đúng nhịp đặt hàng định kỳ (theo tuần) giữa nhà phân phối và nhà bán lẻ.</w:t>
            </w:r>
          </w:p>
        </w:tc>
      </w:tr>
      <w:tr>
        <w:trPr>
          <w:cantSplit/>
        </w:trPr>
        <w:tc>
          <w:tcPr>
            <w:tcW w:type="dxa" w:w="2400"/>
            <w:shd w:fill="FFFFFF" w:val="clear"/>
            <w:tcMar>
              <w:top w:type="dxa" w:w="100"/>
              <w:left w:type="dxa" w:w="200"/>
              <w:bottom w:type="dxa" w:w="100"/>
              <w:right w:type="dxa" w:w="120"/>
            </w:tcMar>
          </w:tcPr>
          <w:p>
            <w:r>
              <w:rPr>
                <w:b/>
                <w:bCs/>
                <w:color w:val="2E5395"/>
                <w:sz w:val="19"/>
                <w:szCs w:val="19"/>
              </w:rPr>
              <w:t>Vấn đề giải quyết</w:t>
            </w:r>
          </w:p>
        </w:tc>
        <w:tc>
          <w:tcPr>
            <w:tcW w:type="dxa" w:w="7346"/>
            <w:shd w:fill="FFFFFF" w:val="clear"/>
            <w:tcMar>
              <w:top w:type="dxa" w:w="100"/>
              <w:left w:type="dxa" w:w="120"/>
              <w:bottom w:type="dxa" w:w="100"/>
              <w:right w:type="dxa" w:w="200"/>
            </w:tcMar>
          </w:tcPr>
          <w:p>
            <w:r>
              <w:rPr>
                <w:sz w:val="20"/>
                <w:szCs w:val="20"/>
              </w:rPr>
              <w:t>Đây là nguồn phù hợp nhất cho câu hỏi "khách hàng đặt hàng theo tuần thì hệ thống phản ứng thế nào", vì cấu trúc bài toán trong bài báo (nhà phân phối – nhà bán lẻ, có chu kỳ ghé thăm, có nhu cầu ngẫu nhiên, có ràng buộc hạn sử dụng) rất gần với vận hành thực tế của bài toán.</w:t>
            </w:r>
          </w:p>
        </w:tc>
      </w:tr>
      <w:tr>
        <w:trPr>
          <w:cantSplit/>
        </w:trPr>
        <w:tc>
          <w:tcPr>
            <w:tcW w:type="dxa" w:w="2400"/>
            <w:shd w:fill="FFFFFF" w:val="clear"/>
            <w:tcMar>
              <w:top w:type="dxa" w:w="100"/>
              <w:left w:type="dxa" w:w="200"/>
              <w:bottom w:type="dxa" w:w="100"/>
              <w:right w:type="dxa" w:w="120"/>
            </w:tcMar>
          </w:tcPr>
          <w:p>
            <w:r>
              <w:rPr>
                <w:b/>
                <w:bCs/>
                <w:color w:val="2E5395"/>
                <w:sz w:val="19"/>
                <w:szCs w:val="19"/>
              </w:rPr>
              <w:t>Tại sao chọn công thức này</w:t>
            </w:r>
          </w:p>
        </w:tc>
        <w:tc>
          <w:tcPr>
            <w:tcW w:type="dxa" w:w="7346"/>
            <w:shd w:fill="FFFFFF" w:val="clear"/>
            <w:tcMar>
              <w:top w:type="dxa" w:w="100"/>
              <w:left w:type="dxa" w:w="120"/>
              <w:bottom w:type="dxa" w:w="100"/>
              <w:right w:type="dxa" w:w="200"/>
            </w:tcMar>
          </w:tcPr>
          <w:p>
            <w:r>
              <w:rPr>
                <w:sz w:val="20"/>
                <w:szCs w:val="20"/>
              </w:rPr>
              <w:t>Chọn thay vì một mô hình sản xuất thuần tuý vì cấu trúc bài toán khớp đúng vai trò "nhà phân phối đa kho — nhà bán lẻ" hơn.</w:t>
            </w:r>
          </w:p>
        </w:tc>
      </w:tr>
      <w:tr>
        <w:trPr>
          <w:cantSplit/>
        </w:trPr>
        <w:tc>
          <w:tcPr>
            <w:tcW w:type="dxa" w:w="2400"/>
            <w:shd w:fill="FFFFFF" w:val="clear"/>
            <w:tcMar>
              <w:top w:type="dxa" w:w="100"/>
              <w:left w:type="dxa" w:w="200"/>
              <w:bottom w:type="dxa" w:w="100"/>
              <w:right w:type="dxa" w:w="120"/>
            </w:tcMar>
          </w:tcPr>
          <w:p>
            <w:r>
              <w:rPr>
                <w:b/>
                <w:bCs/>
                <w:color w:val="2E5395"/>
                <w:sz w:val="19"/>
                <w:szCs w:val="19"/>
              </w:rPr>
              <w:t>Giới hạn / không được claim</w:t>
            </w:r>
          </w:p>
        </w:tc>
        <w:tc>
          <w:tcPr>
            <w:tcW w:type="dxa" w:w="7346"/>
            <w:shd w:fill="FFFFFF" w:val="clear"/>
            <w:tcMar>
              <w:top w:type="dxa" w:w="100"/>
              <w:left w:type="dxa" w:w="120"/>
              <w:bottom w:type="dxa" w:w="100"/>
              <w:right w:type="dxa" w:w="200"/>
            </w:tcMar>
          </w:tcPr>
          <w:p>
            <w:r>
              <w:rPr>
                <w:sz w:val="20"/>
                <w:szCs w:val="20"/>
              </w:rPr>
              <w:t>Mô hình gốc là một nhà phân phối – một nhà bán lẻ; áp dụng cho nhiều nhà bán lẻ/nhiều kho cần được kiểm chứng lại quy mô.</w:t>
            </w:r>
          </w:p>
        </w:tc>
      </w:tr>
    </w:tbl>
    <w:p>
      <w:pPr>
        <w:spacing w:after="120"/>
      </w:pPr>
    </w:p>
    <w:p>
      <w:pPr>
        <w:pStyle w:val="Heading2"/>
        <w:spacing w:after="120" w:before="260"/>
      </w:pPr>
      <w:r>
        <w:rPr>
          <w:b/>
          <w:bCs/>
          <w:color w:val="2E5395"/>
          <w:sz w:val="25"/>
          <w:szCs w:val="25"/>
        </w:rPr>
        <w:t>3.3. Hai ràng buộc độ tươi tách biệt: bảo vệ nhà bán lẻ và bảo vệ người tiêu dùng</w:t>
      </w:r>
    </w:p>
    <w:p>
      <w:pPr>
        <w:spacing w:after="140" w:line="300"/>
      </w:pPr>
      <w:r>
        <w:rPr>
          <w:sz w:val="22"/>
          <w:szCs w:val="22"/>
        </w:rPr>
        <w:t>Đây là phần trả lời cốt lõi cho Câu hỏi 4 (cân bằng lợi ích). Nguyên tắc quan trọng nhất: MLOR và Min-RSL LÀ HAI KHÁI NIỆM KHÁC NHAU, bảo vệ hai đối tượng khác nhau, và KHÔNG được gộp làm một.</w:t>
      </w:r>
    </w:p>
    <w:tbl>
      <w:tblPr>
        <w:tblW w:type="dxa" w:w="9746"/>
        <w:tblBorders>
          <w:top w:val="single" w:color="1F3864" w:sz="4"/>
          <w:left w:val="single" w:color="1F3864" w:sz="4"/>
          <w:bottom w:val="none"/>
          <w:right w:val="single" w:color="1F3864" w:sz="4"/>
          <w:insideH w:val="none"/>
          <w:insideV w:val="none"/>
        </w:tblBorders>
        <w:tblLayout w:type="fixed"/>
      </w:tblPr>
      <w:tblGrid>
        <w:gridCol w:w="9746"/>
      </w:tblGrid>
      <w:tr>
        <w:trPr>
          <w:cantSplit/>
        </w:trPr>
        <w:tc>
          <w:tcPr>
            <w:tcW w:type="dxa" w:w="9746"/>
            <w:shd w:fill="EAF0FA" w:val="clear"/>
            <w:tcMar>
              <w:top w:type="dxa" w:w="140"/>
              <w:left w:type="dxa" w:w="200"/>
              <w:bottom w:type="dxa" w:w="140"/>
              <w:right w:type="dxa" w:w="200"/>
            </w:tcMar>
          </w:tcPr>
          <w:p>
            <w:r>
              <w:rPr>
                <w:b/>
                <w:bCs/>
                <w:color w:val="1F3864"/>
                <w:sz w:val="20"/>
                <w:szCs w:val="20"/>
              </w:rPr>
              <w:t>Mô hình 5 — MLOR: hạn sử dụng còn lại tối thiểu khi nhà bán lẻ nhận hàng</w:t>
            </w:r>
          </w:p>
          <w:p>
            <w:pPr>
              <w:spacing w:before="80"/>
            </w:pPr>
            <w:r>
              <w:rPr>
                <w:b/>
                <w:bCs/>
                <w:sz w:val="24"/>
                <w:szCs w:val="24"/>
              </w:rPr>
              <w:t>MLOR là ngưỡng hạn sử dụng còn lại tối thiểu tại thời điểm nhà bán lẻ nhận hàng, thường được quy định trong hợp đồng; lô hàng dưới ngưỡng này có thể bị nhà bán lẻ từ chối</w:t>
            </w:r>
          </w:p>
        </w:tc>
      </w:tr>
    </w:tbl>
    <w:p>
      <w:pPr>
        <w:spacing w:after="0" w:before="0"/>
      </w:pPr>
    </w:p>
    <w:tbl>
      <w:tblPr>
        <w:tblW w:type="dxa" w:w="9746"/>
        <w:tblBorders>
          <w:top w:val="none"/>
          <w:left w:val="single" w:color="1F3864" w:sz="4"/>
          <w:bottom w:val="single" w:color="1F3864" w:sz="4"/>
          <w:right w:val="single" w:color="1F3864" w:sz="4"/>
          <w:insideH w:val="single" w:color="C9D6EA" w:sz="2"/>
          <w:insideV w:val="single" w:color="C9D6EA" w:sz="2"/>
        </w:tblBorders>
        <w:tblLayout w:type="fixed"/>
      </w:tblPr>
      <w:tblGrid>
        <w:gridCol w:w="2400"/>
        <w:gridCol w:w="7346"/>
      </w:tblGrid>
      <w:tr>
        <w:trPr>
          <w:cantSplit/>
          <w:tblHeader w:val="true"/>
        </w:trPr>
        <w:tc>
          <w:tcPr>
            <w:tcW w:type="dxa" w:w="2400"/>
            <w:shd w:fill="FFFFFF" w:val="clear"/>
            <w:tcMar>
              <w:top w:type="dxa" w:w="100"/>
              <w:left w:type="dxa" w:w="200"/>
              <w:bottom w:type="dxa" w:w="100"/>
              <w:right w:type="dxa" w:w="120"/>
            </w:tcMar>
          </w:tcPr>
          <w:p>
            <w:r>
              <w:rPr>
                <w:b/>
                <w:bCs/>
                <w:color w:val="2E5395"/>
                <w:sz w:val="19"/>
                <w:szCs w:val="19"/>
              </w:rPr>
              <w:t>Nguồn (dẫn chứng)</w:t>
            </w:r>
          </w:p>
        </w:tc>
        <w:tc>
          <w:tcPr>
            <w:tcW w:type="dxa" w:w="7346"/>
            <w:shd w:fill="FFFFFF" w:val="clear"/>
            <w:tcMar>
              <w:top w:type="dxa" w:w="100"/>
              <w:left w:type="dxa" w:w="120"/>
              <w:bottom w:type="dxa" w:w="100"/>
              <w:right w:type="dxa" w:w="200"/>
            </w:tcMar>
          </w:tcPr>
          <w:p>
            <w:r>
              <w:rPr>
                <w:sz w:val="20"/>
                <w:szCs w:val="20"/>
              </w:rPr>
              <w:t>Santos, M. J., Martins, S., Amorim, P. &amp; Almada-Lobo, B. (2022). Omega, 112, 102691. DOI: 10.1016/j.omega.2022.102691 [R4]</w:t>
            </w:r>
          </w:p>
        </w:tc>
      </w:tr>
      <w:tr>
        <w:trPr>
          <w:cantSplit/>
        </w:trPr>
        <w:tc>
          <w:tcPr>
            <w:tcW w:type="dxa" w:w="2400"/>
            <w:shd w:fill="FFFFFF" w:val="clear"/>
            <w:tcMar>
              <w:top w:type="dxa" w:w="100"/>
              <w:left w:type="dxa" w:w="200"/>
              <w:bottom w:type="dxa" w:w="100"/>
              <w:right w:type="dxa" w:w="120"/>
            </w:tcMar>
          </w:tcPr>
          <w:p>
            <w:r>
              <w:rPr>
                <w:b/>
                <w:bCs/>
                <w:color w:val="2E5395"/>
                <w:sz w:val="19"/>
                <w:szCs w:val="19"/>
              </w:rPr>
              <w:t>Mục đích</w:t>
            </w:r>
          </w:p>
        </w:tc>
        <w:tc>
          <w:tcPr>
            <w:tcW w:type="dxa" w:w="7346"/>
            <w:shd w:fill="FFFFFF" w:val="clear"/>
            <w:tcMar>
              <w:top w:type="dxa" w:w="100"/>
              <w:left w:type="dxa" w:w="120"/>
              <w:bottom w:type="dxa" w:w="100"/>
              <w:right w:type="dxa" w:w="200"/>
            </w:tcMar>
          </w:tcPr>
          <w:p>
            <w:r>
              <w:rPr>
                <w:sz w:val="20"/>
                <w:szCs w:val="20"/>
              </w:rPr>
              <w:t>Bảo vệ quyền lợi của NHÀ BÁN LẺ — đảm bảo họ nhận được hàng đủ hạn để có thời gian bày bán trước khi hết hạn.</w:t>
            </w:r>
          </w:p>
        </w:tc>
      </w:tr>
      <w:tr>
        <w:trPr>
          <w:cantSplit/>
        </w:trPr>
        <w:tc>
          <w:tcPr>
            <w:tcW w:type="dxa" w:w="2400"/>
            <w:shd w:fill="FFFFFF" w:val="clear"/>
            <w:tcMar>
              <w:top w:type="dxa" w:w="100"/>
              <w:left w:type="dxa" w:w="200"/>
              <w:bottom w:type="dxa" w:w="100"/>
              <w:right w:type="dxa" w:w="120"/>
            </w:tcMar>
          </w:tcPr>
          <w:p>
            <w:r>
              <w:rPr>
                <w:b/>
                <w:bCs/>
                <w:color w:val="2E5395"/>
                <w:sz w:val="19"/>
                <w:szCs w:val="19"/>
              </w:rPr>
              <w:t>Vấn đề giải quyết</w:t>
            </w:r>
          </w:p>
        </w:tc>
        <w:tc>
          <w:tcPr>
            <w:tcW w:type="dxa" w:w="7346"/>
            <w:shd w:fill="FFFFFF" w:val="clear"/>
            <w:tcMar>
              <w:top w:type="dxa" w:w="100"/>
              <w:left w:type="dxa" w:w="120"/>
              <w:bottom w:type="dxa" w:w="100"/>
              <w:right w:type="dxa" w:w="200"/>
            </w:tcMar>
          </w:tcPr>
          <w:p>
            <w:r>
              <w:rPr>
                <w:sz w:val="20"/>
                <w:szCs w:val="20"/>
              </w:rPr>
              <w:t>Trả lời phần "lợi ích nhà bán lẻ" trong Câu hỏi 4: nếu không có ràng buộc này, hệ thống có thể giao hàng cận date cho nhà bán lẻ chỉ vì tối ưu chi phí vận chuyển.</w:t>
            </w:r>
          </w:p>
        </w:tc>
      </w:tr>
      <w:tr>
        <w:trPr>
          <w:cantSplit/>
        </w:trPr>
        <w:tc>
          <w:tcPr>
            <w:tcW w:type="dxa" w:w="2400"/>
            <w:shd w:fill="FFFFFF" w:val="clear"/>
            <w:tcMar>
              <w:top w:type="dxa" w:w="100"/>
              <w:left w:type="dxa" w:w="200"/>
              <w:bottom w:type="dxa" w:w="100"/>
              <w:right w:type="dxa" w:w="120"/>
            </w:tcMar>
          </w:tcPr>
          <w:p>
            <w:r>
              <w:rPr>
                <w:b/>
                <w:bCs/>
                <w:color w:val="2E5395"/>
                <w:sz w:val="19"/>
                <w:szCs w:val="19"/>
              </w:rPr>
              <w:t>Tại sao chọn công thức này</w:t>
            </w:r>
          </w:p>
        </w:tc>
        <w:tc>
          <w:tcPr>
            <w:tcW w:type="dxa" w:w="7346"/>
            <w:shd w:fill="FFFFFF" w:val="clear"/>
            <w:tcMar>
              <w:top w:type="dxa" w:w="100"/>
              <w:left w:type="dxa" w:w="120"/>
              <w:bottom w:type="dxa" w:w="100"/>
              <w:right w:type="dxa" w:w="200"/>
            </w:tcMar>
          </w:tcPr>
          <w:p>
            <w:r>
              <w:rPr>
                <w:sz w:val="20"/>
                <w:szCs w:val="20"/>
              </w:rPr>
              <w:t>MLOR là thuật ngữ và cơ chế hợp đồng phổ biến trong chuỗi cung ứng thực phẩm thật (không phải khái niệm tự đặt ra); bài báo phân tích rõ MLOR có thể là tham số cố định hoặc biến quyết định trong mô hình tối ưu hỗn hợp nguyên (MILP).</w:t>
            </w:r>
          </w:p>
        </w:tc>
      </w:tr>
      <w:tr>
        <w:trPr>
          <w:cantSplit/>
        </w:trPr>
        <w:tc>
          <w:tcPr>
            <w:tcW w:type="dxa" w:w="2400"/>
            <w:shd w:fill="FFFFFF" w:val="clear"/>
            <w:tcMar>
              <w:top w:type="dxa" w:w="100"/>
              <w:left w:type="dxa" w:w="200"/>
              <w:bottom w:type="dxa" w:w="100"/>
              <w:right w:type="dxa" w:w="120"/>
            </w:tcMar>
          </w:tcPr>
          <w:p>
            <w:r>
              <w:rPr>
                <w:b/>
                <w:bCs/>
                <w:color w:val="2E5395"/>
                <w:sz w:val="19"/>
                <w:szCs w:val="19"/>
              </w:rPr>
              <w:t>Giới hạn / không được claim</w:t>
            </w:r>
          </w:p>
        </w:tc>
        <w:tc>
          <w:tcPr>
            <w:tcW w:type="dxa" w:w="7346"/>
            <w:shd w:fill="FFFFFF" w:val="clear"/>
            <w:tcMar>
              <w:top w:type="dxa" w:w="100"/>
              <w:left w:type="dxa" w:w="120"/>
              <w:bottom w:type="dxa" w:w="100"/>
              <w:right w:type="dxa" w:w="200"/>
            </w:tcMar>
          </w:tcPr>
          <w:p>
            <w:r>
              <w:rPr>
                <w:sz w:val="20"/>
                <w:szCs w:val="20"/>
              </w:rPr>
              <w:t>Không có một tỷ lệ MLOR "chuẩn" (ví dụ 2/3 hạn sử dụng) áp dụng chung cho mọi sản phẩm — cần lấy theo từng hợp đồng thực tế với nhà bán lẻ.</w:t>
            </w:r>
          </w:p>
        </w:tc>
      </w:tr>
    </w:tbl>
    <w:p>
      <w:pPr>
        <w:spacing w:after="80"/>
      </w:pPr>
    </w:p>
    <w:tbl>
      <w:tblPr>
        <w:tblW w:type="dxa" w:w="9746"/>
        <w:tblBorders>
          <w:top w:val="single" w:color="1F3864" w:sz="4"/>
          <w:left w:val="single" w:color="1F3864" w:sz="4"/>
          <w:bottom w:val="none"/>
          <w:right w:val="single" w:color="1F3864" w:sz="4"/>
          <w:insideH w:val="none"/>
          <w:insideV w:val="none"/>
        </w:tblBorders>
        <w:tblLayout w:type="fixed"/>
      </w:tblPr>
      <w:tblGrid>
        <w:gridCol w:w="9746"/>
      </w:tblGrid>
      <w:tr>
        <w:trPr>
          <w:cantSplit/>
        </w:trPr>
        <w:tc>
          <w:tcPr>
            <w:tcW w:type="dxa" w:w="9746"/>
            <w:shd w:fill="EAF0FA" w:val="clear"/>
            <w:tcMar>
              <w:top w:type="dxa" w:w="140"/>
              <w:left w:type="dxa" w:w="200"/>
              <w:bottom w:type="dxa" w:w="140"/>
              <w:right w:type="dxa" w:w="200"/>
            </w:tcMar>
          </w:tcPr>
          <w:p>
            <w:r>
              <w:rPr>
                <w:b/>
                <w:bCs/>
                <w:color w:val="1F3864"/>
                <w:sz w:val="20"/>
                <w:szCs w:val="20"/>
              </w:rPr>
              <w:t>Mô hình 6 — Min-RSL: hạn sử dụng còn lại mục tiêu cho người tiêu dùng</w:t>
            </w:r>
          </w:p>
          <w:p>
            <w:pPr>
              <w:spacing w:before="80"/>
            </w:pPr>
            <w:r>
              <w:rPr>
                <w:b/>
                <w:bCs/>
                <w:sz w:val="24"/>
                <w:szCs w:val="24"/>
              </w:rPr>
              <w:t>Min-RSL là mục tiêu/ràng buộc về độ tươi mà người tiêu dùng cuối mong đợi, được xử lý như một quyết định giai đoạn đầu (first-stage decision) trong bài toán tối ưu hai giai đoạn có yếu tố ngẫu nhiên</w:t>
            </w:r>
          </w:p>
        </w:tc>
      </w:tr>
    </w:tbl>
    <w:p>
      <w:pPr>
        <w:spacing w:after="0" w:before="0"/>
      </w:pPr>
    </w:p>
    <w:tbl>
      <w:tblPr>
        <w:tblW w:type="dxa" w:w="9746"/>
        <w:tblBorders>
          <w:top w:val="none"/>
          <w:left w:val="single" w:color="1F3864" w:sz="4"/>
          <w:bottom w:val="single" w:color="1F3864" w:sz="4"/>
          <w:right w:val="single" w:color="1F3864" w:sz="4"/>
          <w:insideH w:val="single" w:color="C9D6EA" w:sz="2"/>
          <w:insideV w:val="single" w:color="C9D6EA" w:sz="2"/>
        </w:tblBorders>
        <w:tblLayout w:type="fixed"/>
      </w:tblPr>
      <w:tblGrid>
        <w:gridCol w:w="2400"/>
        <w:gridCol w:w="7346"/>
      </w:tblGrid>
      <w:tr>
        <w:trPr>
          <w:cantSplit/>
          <w:tblHeader w:val="true"/>
        </w:trPr>
        <w:tc>
          <w:tcPr>
            <w:tcW w:type="dxa" w:w="2400"/>
            <w:shd w:fill="FFFFFF" w:val="clear"/>
            <w:tcMar>
              <w:top w:type="dxa" w:w="100"/>
              <w:left w:type="dxa" w:w="200"/>
              <w:bottom w:type="dxa" w:w="100"/>
              <w:right w:type="dxa" w:w="120"/>
            </w:tcMar>
          </w:tcPr>
          <w:p>
            <w:r>
              <w:rPr>
                <w:b/>
                <w:bCs/>
                <w:color w:val="2E5395"/>
                <w:sz w:val="19"/>
                <w:szCs w:val="19"/>
              </w:rPr>
              <w:t>Nguồn (dẫn chứng)</w:t>
            </w:r>
          </w:p>
        </w:tc>
        <w:tc>
          <w:tcPr>
            <w:tcW w:type="dxa" w:w="7346"/>
            <w:shd w:fill="FFFFFF" w:val="clear"/>
            <w:tcMar>
              <w:top w:type="dxa" w:w="100"/>
              <w:left w:type="dxa" w:w="120"/>
              <w:bottom w:type="dxa" w:w="100"/>
              <w:right w:type="dxa" w:w="200"/>
            </w:tcMar>
          </w:tcPr>
          <w:p>
            <w:r>
              <w:rPr>
                <w:sz w:val="20"/>
                <w:szCs w:val="20"/>
              </w:rPr>
              <w:t>Singh, N. K. &amp; Kuthambalayan, T. S. (2022). Computers &amp; Industrial Engineering, 163, 107812. DOI: 10.1016/j.cie.2021.107812 [R5]</w:t>
            </w:r>
          </w:p>
        </w:tc>
      </w:tr>
      <w:tr>
        <w:trPr>
          <w:cantSplit/>
        </w:trPr>
        <w:tc>
          <w:tcPr>
            <w:tcW w:type="dxa" w:w="2400"/>
            <w:shd w:fill="FFFFFF" w:val="clear"/>
            <w:tcMar>
              <w:top w:type="dxa" w:w="100"/>
              <w:left w:type="dxa" w:w="200"/>
              <w:bottom w:type="dxa" w:w="100"/>
              <w:right w:type="dxa" w:w="120"/>
            </w:tcMar>
          </w:tcPr>
          <w:p>
            <w:r>
              <w:rPr>
                <w:b/>
                <w:bCs/>
                <w:color w:val="2E5395"/>
                <w:sz w:val="19"/>
                <w:szCs w:val="19"/>
              </w:rPr>
              <w:t>Mục đích</w:t>
            </w:r>
          </w:p>
        </w:tc>
        <w:tc>
          <w:tcPr>
            <w:tcW w:type="dxa" w:w="7346"/>
            <w:shd w:fill="FFFFFF" w:val="clear"/>
            <w:tcMar>
              <w:top w:type="dxa" w:w="100"/>
              <w:left w:type="dxa" w:w="120"/>
              <w:bottom w:type="dxa" w:w="100"/>
              <w:right w:type="dxa" w:w="200"/>
            </w:tcMar>
          </w:tcPr>
          <w:p>
            <w:r>
              <w:rPr>
                <w:sz w:val="20"/>
                <w:szCs w:val="20"/>
              </w:rPr>
              <w:t>Bảo vệ quyền lợi của NGƯỜI TIÊU DÙNG CUỐI — đây chính là câu hỏi "tính toán để hàng tới tay người tiêu dùng có hạn sử dụng đủ dài" mà bạn nêu.</w:t>
            </w:r>
          </w:p>
        </w:tc>
      </w:tr>
      <w:tr>
        <w:trPr>
          <w:cantSplit/>
        </w:trPr>
        <w:tc>
          <w:tcPr>
            <w:tcW w:type="dxa" w:w="2400"/>
            <w:shd w:fill="FFFFFF" w:val="clear"/>
            <w:tcMar>
              <w:top w:type="dxa" w:w="100"/>
              <w:left w:type="dxa" w:w="200"/>
              <w:bottom w:type="dxa" w:w="100"/>
              <w:right w:type="dxa" w:w="120"/>
            </w:tcMar>
          </w:tcPr>
          <w:p>
            <w:r>
              <w:rPr>
                <w:b/>
                <w:bCs/>
                <w:color w:val="2E5395"/>
                <w:sz w:val="19"/>
                <w:szCs w:val="19"/>
              </w:rPr>
              <w:t>Vấn đề giải quyết</w:t>
            </w:r>
          </w:p>
        </w:tc>
        <w:tc>
          <w:tcPr>
            <w:tcW w:type="dxa" w:w="7346"/>
            <w:shd w:fill="FFFFFF" w:val="clear"/>
            <w:tcMar>
              <w:top w:type="dxa" w:w="100"/>
              <w:left w:type="dxa" w:w="120"/>
              <w:bottom w:type="dxa" w:w="100"/>
              <w:right w:type="dxa" w:w="200"/>
            </w:tcMar>
          </w:tcPr>
          <w:p>
            <w:r>
              <w:rPr>
                <w:sz w:val="20"/>
                <w:szCs w:val="20"/>
              </w:rPr>
              <w:t>Nếu chỉ dùng MLOR (ràng buộc tại điểm giao cho nhà bán lẻ), hệ thống không đảm bảo gì về việc người tiêu dùng mua sản phẩm đó còn đủ hạn để dùng — vì giữa lúc nhà bán lẻ nhận hàng và lúc người tiêu dùng mua còn có thời gian bày bán. Min-RSL bù đắp đúng khoảng trống này.</w:t>
            </w:r>
          </w:p>
        </w:tc>
      </w:tr>
      <w:tr>
        <w:trPr>
          <w:cantSplit/>
        </w:trPr>
        <w:tc>
          <w:tcPr>
            <w:tcW w:type="dxa" w:w="2400"/>
            <w:shd w:fill="FFFFFF" w:val="clear"/>
            <w:tcMar>
              <w:top w:type="dxa" w:w="100"/>
              <w:left w:type="dxa" w:w="200"/>
              <w:bottom w:type="dxa" w:w="100"/>
              <w:right w:type="dxa" w:w="120"/>
            </w:tcMar>
          </w:tcPr>
          <w:p>
            <w:r>
              <w:rPr>
                <w:b/>
                <w:bCs/>
                <w:color w:val="2E5395"/>
                <w:sz w:val="19"/>
                <w:szCs w:val="19"/>
              </w:rPr>
              <w:t>Tại sao chọn công thức này</w:t>
            </w:r>
          </w:p>
        </w:tc>
        <w:tc>
          <w:tcPr>
            <w:tcW w:type="dxa" w:w="7346"/>
            <w:shd w:fill="FFFFFF" w:val="clear"/>
            <w:tcMar>
              <w:top w:type="dxa" w:w="100"/>
              <w:left w:type="dxa" w:w="120"/>
              <w:bottom w:type="dxa" w:w="100"/>
              <w:right w:type="dxa" w:w="200"/>
            </w:tcMar>
          </w:tcPr>
          <w:p>
            <w:r>
              <w:rPr>
                <w:sz w:val="20"/>
                <w:szCs w:val="20"/>
              </w:rPr>
              <w:t>Đây là nghiên cứu hiếm hoi coi "độ tươi mục tiêu cho người tiêu dùng" là một quyết định vận hành tường minh (thay vì chỉ là kết quả phụ), và có mô hình hoá nhu cầu phụ thuộc vào độ tươi còn lại — đúng bản chất hành vi mua hàng thực phẩm tươi. Không dùng công thức tự suy diễn (ví dụ MRSL = Q/v + H + S) vì không có bài báo nào xác nhận đúng công thức đó cho đúng bối cảnh multi-warehouse của đồ án.</w:t>
            </w:r>
          </w:p>
        </w:tc>
      </w:tr>
      <w:tr>
        <w:trPr>
          <w:cantSplit/>
        </w:trPr>
        <w:tc>
          <w:tcPr>
            <w:tcW w:type="dxa" w:w="2400"/>
            <w:shd w:fill="FFFFFF" w:val="clear"/>
            <w:tcMar>
              <w:top w:type="dxa" w:w="100"/>
              <w:left w:type="dxa" w:w="200"/>
              <w:bottom w:type="dxa" w:w="100"/>
              <w:right w:type="dxa" w:w="120"/>
            </w:tcMar>
          </w:tcPr>
          <w:p>
            <w:r>
              <w:rPr>
                <w:b/>
                <w:bCs/>
                <w:color w:val="2E5395"/>
                <w:sz w:val="19"/>
                <w:szCs w:val="19"/>
              </w:rPr>
              <w:t>Giới hạn / không được claim</w:t>
            </w:r>
          </w:p>
        </w:tc>
        <w:tc>
          <w:tcPr>
            <w:tcW w:type="dxa" w:w="7346"/>
            <w:shd w:fill="FFFFFF" w:val="clear"/>
            <w:tcMar>
              <w:top w:type="dxa" w:w="100"/>
              <w:left w:type="dxa" w:w="120"/>
              <w:bottom w:type="dxa" w:w="100"/>
              <w:right w:type="dxa" w:w="200"/>
            </w:tcMar>
          </w:tcPr>
          <w:p>
            <w:r>
              <w:rPr>
                <w:sz w:val="20"/>
                <w:szCs w:val="20"/>
              </w:rPr>
              <w:t>Mô hình gốc bao gồm cả biến sản xuất/đóng gói (không thuộc phạm vi kiểm soát của hệ thống phân phối) — chỉ lấy phần khái niệm/quyết định Min-RSL, không copy nguyên mô hình sản xuất.</w:t>
            </w:r>
          </w:p>
        </w:tc>
      </w:tr>
    </w:tbl>
    <w:p>
      <w:pPr>
        <w:spacing w:after="120"/>
      </w:pPr>
    </w:p>
    <w:p>
      <w:pPr>
        <w:pStyle w:val="Heading2"/>
        <w:spacing w:after="120" w:before="260"/>
      </w:pPr>
      <w:r>
        <w:rPr>
          <w:b/>
          <w:bCs/>
          <w:color w:val="2E5395"/>
          <w:sz w:val="25"/>
          <w:szCs w:val="25"/>
        </w:rPr>
        <w:t>3.4. Ràng buộc tích hợp cho cân bằng ba bên (đóng góp của đồ án)</w:t>
      </w:r>
    </w:p>
    <w:p>
      <w:pPr>
        <w:spacing w:after="140" w:line="300"/>
      </w:pPr>
      <w:r>
        <w:rPr>
          <w:sz w:val="22"/>
          <w:szCs w:val="22"/>
        </w:rPr>
        <w:t>Đây là phần trả lời trực tiếp và đầy đủ nhất cho Câu hỏi 4. Không có một bài báo nào chứng minh sẵn công thức dưới đây — đây là phần TÍCH HỢP có chủ đích của đồ án, kết hợp các nguồn đã được kiểm chứng riêng lẻ ở trên. Điều này cần được nêu rõ khi trình bày, đúng với nguyên tắc "không tự chế công thức lõi, nhưng phần tích hợp là đóng góp của đồ án".</w:t>
      </w:r>
    </w:p>
    <w:tbl>
      <w:tblPr>
        <w:tblW w:type="dxa" w:w="9746"/>
        <w:tblBorders>
          <w:top w:val="single" w:color="1F3864" w:sz="4"/>
          <w:left w:val="single" w:color="1F3864" w:sz="4"/>
          <w:bottom w:val="none"/>
          <w:right w:val="single" w:color="1F3864" w:sz="4"/>
          <w:insideH w:val="none"/>
          <w:insideV w:val="none"/>
        </w:tblBorders>
        <w:tblLayout w:type="fixed"/>
      </w:tblPr>
      <w:tblGrid>
        <w:gridCol w:w="9746"/>
      </w:tblGrid>
      <w:tr>
        <w:trPr>
          <w:cantSplit/>
        </w:trPr>
        <w:tc>
          <w:tcPr>
            <w:tcW w:type="dxa" w:w="9746"/>
            <w:shd w:fill="EAF2F8" w:val="clear"/>
            <w:tcMar>
              <w:top w:type="dxa" w:w="140"/>
              <w:left w:type="dxa" w:w="200"/>
              <w:bottom w:type="dxa" w:w="140"/>
              <w:right w:type="dxa" w:w="200"/>
            </w:tcMar>
            <w:vAlign w:val="center"/>
          </w:tcPr>
          <w:p>
            <w:pPr>
              <w:spacing w:before="0" w:after="0"/>
            </w:pPr>
            <w:r>
              <w:rPr>
                <w:b w:val="0"/>
                <w:sz w:val="19"/>
              </w:rPr>
              <w:t>Mô hình 7 — Điều kiện khả thi giao lô i cho điểm đến j (ràng buộc tích hợp được suy dẫn)</w:t>
              <w:br/>
              <w:t>Cặp (i,j) được coi là khả thi ở giai đoạn lập kế hoạch khi đồng thời:</w:t>
              <w:br/>
              <w:t>(a) Sᵢ − Tⱼ ≥ MLORⱼ    VÀ    (b) Sᵢ − Tⱼ − Cⱼ ≥ Min-RSL_target</w:t>
              <w:br/>
              <w:t>(Sᵢ: remaining shelf life của lô i tại thời điểm xuất; Tⱼ: thời gian vận chuyển dự kiến; Cⱼ: horizon tiêu thụ/bày bán dùng cho planning.)</w:t>
            </w:r>
          </w:p>
        </w:tc>
      </w:tr>
    </w:tbl>
    <w:p>
      <w:pPr>
        <w:spacing w:after="0" w:before="0"/>
      </w:pPr>
    </w:p>
    <w:tbl>
      <w:tblPr>
        <w:tblW w:type="dxa" w:w="9746"/>
        <w:tblBorders>
          <w:top w:val="none"/>
          <w:left w:val="single" w:color="1F3864" w:sz="4"/>
          <w:bottom w:val="single" w:color="1F3864" w:sz="4"/>
          <w:right w:val="single" w:color="1F3864" w:sz="4"/>
          <w:insideH w:val="single" w:color="C9D6EA" w:sz="2"/>
          <w:insideV w:val="single" w:color="C9D6EA" w:sz="2"/>
        </w:tblBorders>
        <w:tblLayout w:type="fixed"/>
      </w:tblPr>
      <w:tblGrid>
        <w:gridCol w:w="2400"/>
        <w:gridCol w:w="7346"/>
      </w:tblGrid>
      <w:tr>
        <w:trPr>
          <w:cantSplit/>
          <w:tblHeader w:val="true"/>
        </w:trPr>
        <w:tc>
          <w:tcPr>
            <w:tcW w:type="dxa" w:w="2400"/>
            <w:shd w:fill="FFFFFF" w:val="clear"/>
            <w:tcMar>
              <w:top w:type="dxa" w:w="100"/>
              <w:left w:type="dxa" w:w="200"/>
              <w:bottom w:type="dxa" w:w="100"/>
              <w:right w:type="dxa" w:w="120"/>
            </w:tcMar>
          </w:tcPr>
          <w:p>
            <w:r>
              <w:rPr>
                <w:b/>
                <w:bCs/>
                <w:color w:val="2E5395"/>
                <w:sz w:val="19"/>
                <w:szCs w:val="19"/>
              </w:rPr>
              <w:t>Nguồn (dẫn chứng)</w:t>
            </w:r>
          </w:p>
        </w:tc>
        <w:tc>
          <w:tcPr>
            <w:tcW w:type="dxa" w:w="7346"/>
            <w:shd w:fill="FFFFFF" w:val="clear"/>
            <w:tcMar>
              <w:top w:type="dxa" w:w="100"/>
              <w:left w:type="dxa" w:w="120"/>
              <w:bottom w:type="dxa" w:w="100"/>
              <w:right w:type="dxa" w:w="200"/>
            </w:tcMar>
            <w:vAlign w:val="center"/>
          </w:tcPr>
          <w:p>
            <w:pPr>
              <w:spacing w:before="0" w:after="0"/>
            </w:pPr>
            <w:r>
              <w:rPr>
                <w:b w:val="0"/>
                <w:sz w:val="18"/>
              </w:rPr>
              <w:t>Ba thành phần nguồn được giữ tách biệt: (i) Pal &amp; Kant (2020, Eq.8) [R7] dùng cấu trúc Sᵢ−Tⱼ−Cⱼ để đánh giá pallet có thể được tiêu thụ trước expiry; (ii) Santos et al. (2022) [R4] cung cấp MLOR tại thời điểm retailer nhận hàng; (iii) Singh &amp; Kuthambalayan (2022) [R5] cung cấp target Min-RSL cho người tiêu dùng. Hai bất đẳng thức của Mô hình 7 KHÔNG được chép từ một bài duy nhất; chúng là phép suy dẫn logic của đồ án từ ba thành phần đã công bố.</w:t>
            </w:r>
          </w:p>
        </w:tc>
      </w:tr>
      <w:tr>
        <w:trPr>
          <w:cantSplit/>
        </w:trPr>
        <w:tc>
          <w:tcPr>
            <w:tcW w:type="dxa" w:w="2400"/>
            <w:shd w:fill="FFFFFF" w:val="clear"/>
            <w:tcMar>
              <w:top w:type="dxa" w:w="100"/>
              <w:left w:type="dxa" w:w="200"/>
              <w:bottom w:type="dxa" w:w="100"/>
              <w:right w:type="dxa" w:w="120"/>
            </w:tcMar>
          </w:tcPr>
          <w:p>
            <w:r>
              <w:rPr>
                <w:b/>
                <w:bCs/>
                <w:color w:val="2E5395"/>
                <w:sz w:val="19"/>
                <w:szCs w:val="19"/>
              </w:rPr>
              <w:t>Mục đích</w:t>
            </w:r>
          </w:p>
        </w:tc>
        <w:tc>
          <w:tcPr>
            <w:tcW w:type="dxa" w:w="7346"/>
            <w:shd w:fill="FFFFFF" w:val="clear"/>
            <w:tcMar>
              <w:top w:type="dxa" w:w="100"/>
              <w:left w:type="dxa" w:w="120"/>
              <w:bottom w:type="dxa" w:w="100"/>
              <w:right w:type="dxa" w:w="200"/>
            </w:tcMar>
          </w:tcPr>
          <w:p>
            <w:r>
              <w:rPr>
                <w:sz w:val="20"/>
                <w:szCs w:val="20"/>
              </w:rPr>
              <w:t>Mã hoá đồng thời cả hai lợi ích (nhà bán lẻ qua điều kiện a, người tiêu dùng qua điều kiện b) thành điều kiện BẮT BUỘC phải thoả trước khi một lô hàng được coi là hợp lệ để giao.</w:t>
            </w:r>
          </w:p>
        </w:tc>
      </w:tr>
      <w:tr>
        <w:trPr>
          <w:cantSplit/>
        </w:trPr>
        <w:tc>
          <w:tcPr>
            <w:tcW w:type="dxa" w:w="2400"/>
            <w:shd w:fill="FFFFFF" w:val="clear"/>
            <w:tcMar>
              <w:top w:type="dxa" w:w="100"/>
              <w:left w:type="dxa" w:w="200"/>
              <w:bottom w:type="dxa" w:w="100"/>
              <w:right w:type="dxa" w:w="120"/>
            </w:tcMar>
          </w:tcPr>
          <w:p>
            <w:r>
              <w:rPr>
                <w:b/>
                <w:bCs/>
                <w:color w:val="2E5395"/>
                <w:sz w:val="19"/>
                <w:szCs w:val="19"/>
              </w:rPr>
              <w:t>Vấn đề giải quyết</w:t>
            </w:r>
          </w:p>
        </w:tc>
        <w:tc>
          <w:tcPr>
            <w:tcW w:type="dxa" w:w="7346"/>
            <w:shd w:fill="FFFFFF" w:val="clear"/>
            <w:tcMar>
              <w:top w:type="dxa" w:w="100"/>
              <w:left w:type="dxa" w:w="120"/>
              <w:bottom w:type="dxa" w:w="100"/>
              <w:right w:type="dxa" w:w="200"/>
            </w:tcMar>
          </w:tcPr>
          <w:p>
            <w:r>
              <w:rPr>
                <w:sz w:val="20"/>
                <w:szCs w:val="20"/>
              </w:rPr>
              <w:t>Đây chính là câu trả lời cho "làm sao đảm bảo quyền lợi cho cả nhà bán lẻ và người tiêu dùng, không chỉ một bên": bằng cách yêu cầu CẢ HAI điều kiện phải đúng cùng lúc, không có bên nào bị hy sinh cho bên còn lại hay cho chi phí.</w:t>
            </w:r>
          </w:p>
        </w:tc>
      </w:tr>
      <w:tr>
        <w:trPr>
          <w:cantSplit/>
        </w:trPr>
        <w:tc>
          <w:tcPr>
            <w:tcW w:type="dxa" w:w="2400"/>
            <w:shd w:fill="FFFFFF" w:val="clear"/>
            <w:tcMar>
              <w:top w:type="dxa" w:w="100"/>
              <w:left w:type="dxa" w:w="200"/>
              <w:bottom w:type="dxa" w:w="100"/>
              <w:right w:type="dxa" w:w="120"/>
            </w:tcMar>
          </w:tcPr>
          <w:p>
            <w:r>
              <w:rPr>
                <w:b/>
                <w:bCs/>
                <w:color w:val="2E5395"/>
                <w:sz w:val="19"/>
                <w:szCs w:val="19"/>
              </w:rPr>
              <w:t>Tại sao chọn công thức này</w:t>
            </w:r>
          </w:p>
        </w:tc>
        <w:tc>
          <w:tcPr>
            <w:tcW w:type="dxa" w:w="7346"/>
            <w:shd w:fill="FFFFFF" w:val="clear"/>
            <w:tcMar>
              <w:top w:type="dxa" w:w="100"/>
              <w:left w:type="dxa" w:w="120"/>
              <w:bottom w:type="dxa" w:w="100"/>
              <w:right w:type="dxa" w:w="200"/>
            </w:tcMar>
            <w:vAlign w:val="center"/>
          </w:tcPr>
          <w:p>
            <w:pPr>
              <w:spacing w:before="0" w:after="0"/>
            </w:pPr>
            <w:r>
              <w:rPr>
                <w:b w:val="0"/>
                <w:sz w:val="18"/>
              </w:rPr>
              <w:t>Ràng buộc kép là một cách trực tiếp và dễ bảo vệ để không cho phép bù trừ dưới các ngưỡng tối thiểu. Khác với điểm số trọng số, một phương án vi phạm MLOR hoặc Min-RSL bị loại bất kể chi phí thấp đến đâu. Đây không phải cách duy nhất trong tối ưu đa mục tiêu; Mục 3.6 dùng ε-constraint làm cơ sở phương pháp luận cho lựa chọn hard-constraint của đồ án.</w:t>
            </w:r>
          </w:p>
        </w:tc>
      </w:tr>
      <w:tr>
        <w:trPr>
          <w:cantSplit/>
        </w:trPr>
        <w:tc>
          <w:tcPr>
            <w:tcW w:type="dxa" w:w="2400"/>
            <w:shd w:fill="FFFFFF" w:val="clear"/>
            <w:tcMar>
              <w:top w:type="dxa" w:w="100"/>
              <w:left w:type="dxa" w:w="200"/>
              <w:bottom w:type="dxa" w:w="100"/>
              <w:right w:type="dxa" w:w="120"/>
            </w:tcMar>
          </w:tcPr>
          <w:p>
            <w:r>
              <w:rPr>
                <w:b/>
                <w:bCs/>
                <w:color w:val="2E5395"/>
                <w:sz w:val="19"/>
                <w:szCs w:val="19"/>
              </w:rPr>
              <w:t>Giới hạn / không được claim</w:t>
            </w:r>
          </w:p>
        </w:tc>
        <w:tc>
          <w:tcPr>
            <w:tcW w:type="dxa" w:w="7346"/>
            <w:shd w:fill="FFFFFF" w:val="clear"/>
            <w:tcMar>
              <w:top w:type="dxa" w:w="100"/>
              <w:left w:type="dxa" w:w="120"/>
              <w:bottom w:type="dxa" w:w="100"/>
              <w:right w:type="dxa" w:w="200"/>
            </w:tcMar>
            <w:vAlign w:val="center"/>
          </w:tcPr>
          <w:p>
            <w:pPr>
              <w:spacing w:before="0" w:after="0"/>
            </w:pPr>
            <w:r>
              <w:rPr>
                <w:b w:val="0"/>
                <w:sz w:val="18"/>
              </w:rPr>
              <w:t>Đây là ràng buộc tích hợp/đóng góp của đồ án. Phần chứng minh ngay sau bảng chỉ chứng minh tính nhất quán và tính cần/đủ dưới các giả định planning đã nêu; KHÔNG chứng minh Cⱼ hay Min-RSL_target được ước lượng hoàn hảo, và KHÔNG chứng minh tối ưu toàn cục của toàn pipeline.</w:t>
            </w:r>
          </w:p>
        </w:tc>
      </w:tr>
    </w:tbl>
    <w:tbl>
      <w:tblPr>
        <w:tblW w:type="auto" w:w="0"/>
        <w:jc w:val="center"/>
        <w:tblLook w:firstColumn="1" w:firstRow="1" w:lastColumn="0" w:lastRow="0" w:noHBand="0" w:noVBand="1" w:val="04A0"/>
      </w:tblPr>
      <w:tblGrid>
        <w:gridCol w:w="9746"/>
      </w:tblGrid>
      <w:tr>
        <w:trPr>
          <w:cantSplit/>
        </w:trPr>
        <w:tc>
          <w:tcPr>
            <w:tcW w:type="dxa" w:w="9746"/>
            <w:shd w:fill="F7FBFF"/>
            <w:tcMar>
              <w:top w:w="120" w:type="dxa"/>
              <w:start w:w="140" w:type="dxa"/>
              <w:bottom w:w="120" w:type="dxa"/>
              <w:end w:w="140" w:type="dxa"/>
            </w:tcMar>
          </w:tcPr>
          <w:p>
            <w:r>
              <w:rPr>
                <w:b/>
                <w:color w:val="1F4E79"/>
                <w:sz w:val="21"/>
              </w:rPr>
              <w:t>3.4.1. Chứng minh từng bước cho Mô hình 7 (phần suy dẫn của đồ án)</w:t>
            </w:r>
          </w:p>
          <w:p>
            <w:pPr>
              <w:spacing w:after="40"/>
            </w:pPr>
            <w:r>
              <w:rPr>
                <w:b/>
                <w:sz w:val="17"/>
              </w:rPr>
              <w:t>Phạm vi của chứng minh.</w:t>
            </w:r>
            <w:r>
              <w:rPr>
                <w:sz w:val="17"/>
              </w:rPr>
              <w:t xml:space="preserve"> Chứng minh này không tuyên bố một định luật thực nghiệm mới; nó chứng minh hai bất đẳng thức được suy ra nhất quán từ remaining shelf life, MLOR và target Min-RSL.</w:t>
            </w:r>
          </w:p>
          <w:p>
            <w:pPr>
              <w:spacing w:after="40"/>
            </w:pPr>
            <w:r>
              <w:rPr>
                <w:b/>
                <w:sz w:val="17"/>
              </w:rPr>
              <w:t>Giả định A1.</w:t>
            </w:r>
            <w:r>
              <w:rPr>
                <w:sz w:val="17"/>
              </w:rPr>
              <w:t xml:space="preserve"> Sᵢ, Tⱼ, Cⱼ, MLORⱼ và Min-RSL_target dùng cùng đơn vị thời gian. Sᵢ là remaining shelf life của lô i tại thời điểm bắt đầu xuất.</w:t>
            </w:r>
          </w:p>
          <w:p>
            <w:pPr>
              <w:spacing w:after="40"/>
            </w:pPr>
            <w:r>
              <w:rPr>
                <w:b/>
                <w:sz w:val="17"/>
              </w:rPr>
              <w:t>Giả định A2.</w:t>
            </w:r>
            <w:r>
              <w:rPr>
                <w:sz w:val="17"/>
              </w:rPr>
              <w:t xml:space="preserve"> Trong horizon lập kế hoạch, remaining shelf life giảm theo thời gian trôi qua. Nếu sau này dùng effective shelf life từ temperature/quality sensing, Sᵢ phải là effective RSL đã được hiệu chỉnh trước.</w:t>
            </w:r>
          </w:p>
          <w:p>
            <w:pPr>
              <w:spacing w:after="40"/>
            </w:pPr>
            <w:r>
              <w:rPr>
                <w:b/>
                <w:sz w:val="17"/>
              </w:rPr>
              <w:t>Giả định A3.</w:t>
            </w:r>
            <w:r>
              <w:rPr>
                <w:sz w:val="17"/>
              </w:rPr>
              <w:t xml:space="preserve"> Tⱼ là transit time dự kiến. Cⱼ là horizon từ lúc retailer nhận hàng đến thời điểm muộn nhất mà shipment được kỳ vọng/cho phép được tiêu thụ trong kế hoạch. Nếu Cⱼ chỉ là mean, kết luận chỉ là expected/planning feasibility; muốn hard guarantee phải dùng một upper bound/percentile bảo thủ.</w:t>
            </w:r>
          </w:p>
          <w:p>
            <w:pPr>
              <w:spacing w:after="40"/>
            </w:pPr>
            <w:r>
              <w:rPr>
                <w:b/>
                <w:sz w:val="17"/>
              </w:rPr>
              <w:t>Bước 1 — RSL tại retailer.</w:t>
            </w:r>
            <w:r>
              <w:rPr>
                <w:sz w:val="17"/>
              </w:rPr>
              <w:t xml:space="preserve"> Sau Tⱼ đơn vị thời gian: RSL_arrival(i,j) = Sᵢ − Tⱼ.</w:t>
            </w:r>
          </w:p>
          <w:p>
            <w:pPr>
              <w:spacing w:after="40"/>
            </w:pPr>
            <w:r>
              <w:rPr>
                <w:b/>
                <w:sz w:val="17"/>
              </w:rPr>
              <w:t>Bước 2 — Bảo vệ retailer.</w:t>
            </w:r>
            <w:r>
              <w:rPr>
                <w:sz w:val="17"/>
              </w:rPr>
              <w:t xml:space="preserve"> MLOR yêu cầu RSL_arrival(i,j) ≥ MLORⱼ. Thế Bước 1 vào: Sᵢ − Tⱼ ≥ MLORⱼ. Đây là điều kiện (a).</w:t>
            </w:r>
          </w:p>
          <w:p>
            <w:pPr>
              <w:spacing w:after="40"/>
            </w:pPr>
            <w:r>
              <w:rPr>
                <w:b/>
                <w:sz w:val="17"/>
              </w:rPr>
              <w:t>Bước 3 — RSL tại horizon tiêu thụ.</w:t>
            </w:r>
            <w:r>
              <w:rPr>
                <w:sz w:val="17"/>
              </w:rPr>
              <w:t xml:space="preserve"> Tổng thời gian từ dispatch đến horizon tiêu thụ là Tⱼ + Cⱼ, nên RSL_consumer(i,j) = Sᵢ − (Tⱼ + Cⱼ) = Sᵢ − Tⱼ − Cⱼ. Pal &amp; Kant (2020, Eq.8) dùng chính cấu trúc Sᵢ−Tⱼ−Cⱼ khi đánh giá khả năng pallet được tiêu thụ trước expiry.</w:t>
            </w:r>
          </w:p>
          <w:p>
            <w:pPr>
              <w:spacing w:after="40"/>
            </w:pPr>
            <w:r>
              <w:rPr>
                <w:b/>
                <w:sz w:val="17"/>
              </w:rPr>
              <w:t>Bước 4 — Từ non-expiry đến target freshness.</w:t>
            </w:r>
            <w:r>
              <w:rPr>
                <w:sz w:val="17"/>
              </w:rPr>
              <w:t xml:space="preserve"> Pal &amp; Kant dùng ngưỡng 0 cho non-expiry. Đồ án yêu cầu RSL_consumer(i,j) ≥ Min-RSL_target theo khái niệm target Min-RSL của Singh &amp; Kuthambalayan (2022). Thế Bước 3 vào: Sᵢ − Tⱼ − Cⱼ ≥ Min-RSL_target. Đây là điều kiện (b).</w:t>
            </w:r>
          </w:p>
          <w:p>
            <w:pPr>
              <w:spacing w:after="40"/>
            </w:pPr>
            <w:r>
              <w:rPr>
                <w:b/>
                <w:sz w:val="17"/>
              </w:rPr>
              <w:t>Bước 5 — Vì sao là AND.</w:t>
            </w:r>
            <w:r>
              <w:rPr>
                <w:sz w:val="17"/>
              </w:rPr>
              <w:t xml:space="preserve"> (a) và (b) bảo vệ hai ngưỡng khác nhau. Nếu (a) sai, retailer MLOR bị vi phạm; nếu (b) sai, consumer freshness target bị vi phạm. Vì vậy cặp (i,j) chỉ khả thi khi cả hai cùng đúng.</w:t>
            </w:r>
          </w:p>
          <w:p>
            <w:pPr>
              <w:spacing w:after="40"/>
            </w:pPr>
            <w:r>
              <w:rPr>
                <w:b/>
                <w:sz w:val="17"/>
              </w:rPr>
              <w:t>Kiểm tra chéo.</w:t>
            </w:r>
            <w:r>
              <w:rPr>
                <w:sz w:val="17"/>
              </w:rPr>
              <w:t xml:space="preserve"> Nếu Min-RSL_target = 0 thì (b) trở thành Sᵢ − Tⱼ − Cⱼ ≥ 0, đúng với non-expiry threshold trong Pal &amp; Kant. Do đó (b) là threshold-shifted extension có nguồn gốc rõ, không phải biểu thức đặt tuỳ ý.</w:t>
            </w:r>
          </w:p>
          <w:p>
            <w:pPr>
              <w:spacing w:after="40"/>
            </w:pPr>
            <w:r>
              <w:rPr>
                <w:b/>
                <w:sz w:val="17"/>
              </w:rPr>
              <w:t>Kết luận.</w:t>
            </w:r>
            <w:r>
              <w:rPr>
                <w:sz w:val="17"/>
              </w:rPr>
              <w:t xml:space="preserve"> Dưới A1–A3, Mô hình 7 là điều kiện cần và đủ để đồng thời thỏa hai ngưỡng planning đã định nghĩa. Nó chứng minh tính logic của eligibility rule, không chứng minh độ chính xác của forecast hoặc optimality toàn hệ thống.</w:t>
            </w:r>
          </w:p>
        </w:tc>
      </w:tr>
    </w:tbl>
    <w:p>
      <w:pPr>
        <w:spacing w:after="80"/>
      </w:pPr>
    </w:p>
    <w:p>
      <w:pPr>
        <w:pStyle w:val="Heading3"/>
        <w:spacing w:after="100" w:before="200"/>
      </w:pPr>
      <w:r>
        <w:rPr>
          <w:b/>
          <w:bCs/>
          <w:color w:val="333333"/>
          <w:sz w:val="22"/>
          <w:szCs w:val="22"/>
        </w:rPr>
        <w:t>Nâng cấp nguồn cho điều kiện (a) — MLOR không nhất thiết là số cố định</w:t>
      </w:r>
    </w:p>
    <w:p>
      <w:r>
        <w:rPr>
          <w:b w:val="0"/>
          <w:sz w:val="18"/>
        </w:rPr>
        <w:t>R4 (Santos et al.) đã so sánh MLOR dưới dạng tham số cố định và biến quyết định trong mô hình production–inventory. Tuy nhiên, mô hình đó không phải một closed-form distributor-only rule cho mạng đa kho. Hai nguồn dưới đây được giữ như các góc nhìn bổ sung về thiết lập threshold/shipping policy trong các bối cảnh khác; không nên mô tả chúng là “sửa một thiếu sót” của R4.</w:t>
      </w:r>
    </w:p>
    <w:tbl>
      <w:tblPr>
        <w:tblW w:type="dxa" w:w="9746"/>
        <w:tblBorders>
          <w:top w:val="single" w:color="1F3864" w:sz="4"/>
          <w:left w:val="single" w:color="1F3864" w:sz="4"/>
          <w:bottom w:val="none"/>
          <w:right w:val="single" w:color="1F3864" w:sz="4"/>
          <w:insideH w:val="none"/>
          <w:insideV w:val="none"/>
        </w:tblBorders>
        <w:tblLayout w:type="fixed"/>
      </w:tblPr>
      <w:tblGrid>
        <w:gridCol w:w="9746"/>
      </w:tblGrid>
      <w:tr>
        <w:trPr>
          <w:cantSplit/>
        </w:trPr>
        <w:tc>
          <w:tcPr>
            <w:tcW w:type="dxa" w:w="9746"/>
            <w:shd w:fill="EAF2F8" w:val="clear"/>
            <w:tcMar>
              <w:top w:type="dxa" w:w="140"/>
              <w:left w:type="dxa" w:w="200"/>
              <w:bottom w:type="dxa" w:w="140"/>
              <w:right w:type="dxa" w:w="200"/>
            </w:tcMar>
          </w:tcPr>
          <w:p>
            <w:r>
              <w:rPr>
                <w:b w:val="0"/>
                <w:sz w:val="19"/>
              </w:rPr>
              <w:t>Nguồn bổ sung 1 — Tối ưu hoá maximum shipping age bằng mô hình chuỗi Markov</w:t>
              <w:br/>
              <w:t>Ngưỡng “tuổi tối đa được phép xuất kho” được TÍNH từ trade-off profit/waste. Đây là một shelf-life shipping threshold liên quan tới MLOR, nhưng KHÔNG phải cùng một khái niệm.</w:t>
            </w:r>
          </w:p>
        </w:tc>
      </w:tr>
    </w:tbl>
    <w:p>
      <w:pPr>
        <w:spacing w:after="0" w:before="0"/>
      </w:pPr>
    </w:p>
    <w:tbl>
      <w:tblPr>
        <w:tblW w:type="dxa" w:w="9746"/>
        <w:tblBorders>
          <w:top w:val="none"/>
          <w:left w:val="single" w:color="1F3864" w:sz="4"/>
          <w:bottom w:val="single" w:color="1F3864" w:sz="4"/>
          <w:right w:val="single" w:color="1F3864" w:sz="4"/>
          <w:insideH w:val="single" w:color="C9D6EA" w:sz="2"/>
          <w:insideV w:val="single" w:color="C9D6EA" w:sz="2"/>
        </w:tblBorders>
        <w:tblLayout w:type="fixed"/>
      </w:tblPr>
      <w:tblGrid>
        <w:gridCol w:w="2400"/>
        <w:gridCol w:w="7346"/>
      </w:tblGrid>
      <w:tr>
        <w:trPr>
          <w:cantSplit/>
          <w:tblHeader w:val="true"/>
        </w:trPr>
        <w:tc>
          <w:tcPr>
            <w:tcW w:type="dxa" w:w="2400"/>
            <w:shd w:fill="FFFFFF" w:val="clear"/>
            <w:tcMar>
              <w:top w:type="dxa" w:w="100"/>
              <w:left w:type="dxa" w:w="200"/>
              <w:bottom w:type="dxa" w:w="100"/>
              <w:right w:type="dxa" w:w="120"/>
            </w:tcMar>
          </w:tcPr>
          <w:p>
            <w:r>
              <w:rPr>
                <w:b/>
                <w:bCs/>
                <w:color w:val="2E5395"/>
                <w:sz w:val="19"/>
                <w:szCs w:val="19"/>
              </w:rPr>
              <w:t>Nguồn (dẫn chứng)</w:t>
            </w:r>
          </w:p>
        </w:tc>
        <w:tc>
          <w:tcPr>
            <w:tcW w:type="dxa" w:w="7346"/>
            <w:shd w:fill="FFFFFF" w:val="clear"/>
            <w:tcMar>
              <w:top w:type="dxa" w:w="100"/>
              <w:left w:type="dxa" w:w="120"/>
              <w:bottom w:type="dxa" w:w="100"/>
              <w:right w:type="dxa" w:w="200"/>
            </w:tcMar>
          </w:tcPr>
          <w:p>
            <w:r>
              <w:rPr>
                <w:sz w:val="20"/>
                <w:szCs w:val="20"/>
              </w:rPr>
              <w:t>Akkas, A. &amp; Honhon, D. (2023). Determining maximum shipping age requirements for shelf life and food waste management. Production and Operations Management, 32(7), 2173–2188. DOI: 10.1111/poms.13963 [R18]</w:t>
            </w:r>
          </w:p>
        </w:tc>
      </w:tr>
      <w:tr>
        <w:trPr>
          <w:cantSplit/>
        </w:trPr>
        <w:tc>
          <w:tcPr>
            <w:tcW w:type="dxa" w:w="2400"/>
            <w:shd w:fill="FFFFFF" w:val="clear"/>
            <w:tcMar>
              <w:top w:type="dxa" w:w="100"/>
              <w:left w:type="dxa" w:w="200"/>
              <w:bottom w:type="dxa" w:w="100"/>
              <w:right w:type="dxa" w:w="120"/>
            </w:tcMar>
          </w:tcPr>
          <w:p>
            <w:r>
              <w:rPr>
                <w:b/>
                <w:bCs/>
                <w:color w:val="2E5395"/>
                <w:sz w:val="19"/>
                <w:szCs w:val="19"/>
              </w:rPr>
              <w:t>Mục đích</w:t>
            </w:r>
          </w:p>
        </w:tc>
        <w:tc>
          <w:tcPr>
            <w:tcW w:type="dxa" w:w="7346"/>
            <w:shd w:fill="FFFFFF" w:val="clear"/>
            <w:tcMar>
              <w:top w:type="dxa" w:w="100"/>
              <w:left w:type="dxa" w:w="120"/>
              <w:bottom w:type="dxa" w:w="100"/>
              <w:right w:type="dxa" w:w="200"/>
            </w:tcMar>
            <w:vAlign w:val="center"/>
          </w:tcPr>
          <w:p>
            <w:pPr>
              <w:spacing w:before="0" w:after="0"/>
            </w:pPr>
            <w:r>
              <w:rPr>
                <w:b w:val="0"/>
                <w:sz w:val="18"/>
              </w:rPr>
              <w:t>Cung cấp Markov-chain framework để xác định maximum shipping age threshold ở cấp SKU. Đây là shelf-life shipping policy liên quan chặt tới freshness-at-shipment, nhưng KHÔNG đồng nhất máy móc với contractual MLOR.</w:t>
            </w:r>
          </w:p>
        </w:tc>
      </w:tr>
      <w:tr>
        <w:trPr>
          <w:cantSplit/>
        </w:trPr>
        <w:tc>
          <w:tcPr>
            <w:tcW w:type="dxa" w:w="2400"/>
            <w:shd w:fill="FFFFFF" w:val="clear"/>
            <w:tcMar>
              <w:top w:type="dxa" w:w="100"/>
              <w:left w:type="dxa" w:w="200"/>
              <w:bottom w:type="dxa" w:w="100"/>
              <w:right w:type="dxa" w:w="120"/>
            </w:tcMar>
          </w:tcPr>
          <w:p>
            <w:r>
              <w:rPr>
                <w:b/>
                <w:bCs/>
                <w:color w:val="2E5395"/>
                <w:sz w:val="19"/>
                <w:szCs w:val="19"/>
              </w:rPr>
              <w:t>Vấn đề giải quyết</w:t>
            </w:r>
          </w:p>
        </w:tc>
        <w:tc>
          <w:tcPr>
            <w:tcW w:type="dxa" w:w="7346"/>
            <w:shd w:fill="FFFFFF" w:val="clear"/>
            <w:tcMar>
              <w:top w:type="dxa" w:w="100"/>
              <w:left w:type="dxa" w:w="120"/>
              <w:bottom w:type="dxa" w:w="100"/>
              <w:right w:type="dxa" w:w="200"/>
            </w:tcMar>
            <w:vAlign w:val="center"/>
          </w:tcPr>
          <w:p>
            <w:pPr>
              <w:spacing w:before="0" w:after="0"/>
            </w:pPr>
            <w:r>
              <w:rPr>
                <w:b w:val="0"/>
                <w:sz w:val="18"/>
              </w:rPr>
              <w:t>Bổ sung lựa chọn thực hành để tính threshold tuổi tối đa được phép xuất kho dựa trên demand, inventory, total shelf life và expiration cost, thay vì one-size-fits-all rule.</w:t>
            </w:r>
          </w:p>
        </w:tc>
      </w:tr>
      <w:tr>
        <w:trPr>
          <w:cantSplit/>
        </w:trPr>
        <w:tc>
          <w:tcPr>
            <w:tcW w:type="dxa" w:w="2400"/>
            <w:shd w:fill="FFFFFF" w:val="clear"/>
            <w:tcMar>
              <w:top w:type="dxa" w:w="100"/>
              <w:left w:type="dxa" w:w="200"/>
              <w:bottom w:type="dxa" w:w="100"/>
              <w:right w:type="dxa" w:w="120"/>
            </w:tcMar>
          </w:tcPr>
          <w:p>
            <w:r>
              <w:rPr>
                <w:b/>
                <w:bCs/>
                <w:color w:val="2E5395"/>
                <w:sz w:val="19"/>
                <w:szCs w:val="19"/>
              </w:rPr>
              <w:t>Tại sao chọn công thức này</w:t>
            </w:r>
          </w:p>
        </w:tc>
        <w:tc>
          <w:tcPr>
            <w:tcW w:type="dxa" w:w="7346"/>
            <w:shd w:fill="FFFFFF" w:val="clear"/>
            <w:tcMar>
              <w:top w:type="dxa" w:w="100"/>
              <w:left w:type="dxa" w:w="120"/>
              <w:bottom w:type="dxa" w:w="100"/>
              <w:right w:type="dxa" w:w="200"/>
            </w:tcMar>
            <w:vAlign w:val="center"/>
          </w:tcPr>
          <w:p>
            <w:pPr>
              <w:spacing w:before="0" w:after="0"/>
            </w:pPr>
            <w:r>
              <w:rPr>
                <w:b w:val="0"/>
                <w:sz w:val="18"/>
              </w:rPr>
              <w:t>Dữ liệu thật hơn 450 SKU cho thấy 9–10% threshold hiện tại dưới tối ưu; tiềm năng tăng profit tới 8,7% và giảm waste tới 14,7%. Bài báo phân tích Ship-Oldest-First/FIFO; KHÔNG nên ghi rằng bài này trực tiếp chứng minh FEFO dưới tối ưu.</w:t>
            </w:r>
          </w:p>
        </w:tc>
      </w:tr>
      <w:tr>
        <w:trPr>
          <w:cantSplit/>
        </w:trPr>
        <w:tc>
          <w:tcPr>
            <w:tcW w:type="dxa" w:w="2400"/>
            <w:shd w:fill="FFFFFF" w:val="clear"/>
            <w:tcMar>
              <w:top w:type="dxa" w:w="100"/>
              <w:left w:type="dxa" w:w="200"/>
              <w:bottom w:type="dxa" w:w="100"/>
              <w:right w:type="dxa" w:w="120"/>
            </w:tcMar>
          </w:tcPr>
          <w:p>
            <w:r>
              <w:rPr>
                <w:b/>
                <w:bCs/>
                <w:color w:val="2E5395"/>
                <w:sz w:val="19"/>
                <w:szCs w:val="19"/>
              </w:rPr>
              <w:t>Giới hạn / không được claim</w:t>
            </w:r>
          </w:p>
        </w:tc>
        <w:tc>
          <w:tcPr>
            <w:tcW w:type="dxa" w:w="7346"/>
            <w:shd w:fill="FFFFFF" w:val="clear"/>
            <w:tcMar>
              <w:top w:type="dxa" w:w="100"/>
              <w:left w:type="dxa" w:w="120"/>
              <w:bottom w:type="dxa" w:w="100"/>
              <w:right w:type="dxa" w:w="200"/>
            </w:tcMar>
            <w:vAlign w:val="center"/>
          </w:tcPr>
          <w:p>
            <w:pPr>
              <w:spacing w:before="0" w:after="0"/>
            </w:pPr>
            <w:r>
              <w:rPr>
                <w:b w:val="0"/>
                <w:sz w:val="18"/>
              </w:rPr>
              <w:t>Không đề cập Consumer Min-RSL; maximum shipping age không hoàn toàn đồng nghĩa MLOR. Dùng R20 như nguồn bổ sung về threshold design; contractual MLOR vẫn phải lấy từ contract hoặc MLOR model phù hợp.</w:t>
            </w:r>
          </w:p>
        </w:tc>
      </w:tr>
    </w:tbl>
    <w:p>
      <w:pPr>
        <w:spacing w:after="80"/>
      </w:pPr>
    </w:p>
    <w:tbl>
      <w:tblPr>
        <w:tblW w:type="dxa" w:w="9746"/>
        <w:tblBorders>
          <w:top w:val="single" w:color="1F3864" w:sz="4"/>
          <w:left w:val="single" w:color="1F3864" w:sz="4"/>
          <w:bottom w:val="none"/>
          <w:right w:val="single" w:color="1F3864" w:sz="4"/>
          <w:insideH w:val="none"/>
          <w:insideV w:val="none"/>
        </w:tblBorders>
        <w:tblLayout w:type="fixed"/>
      </w:tblPr>
      <w:tblGrid>
        <w:gridCol w:w="9746"/>
      </w:tblGrid>
      <w:tr>
        <w:trPr>
          <w:cantSplit/>
        </w:trPr>
        <w:tc>
          <w:tcPr>
            <w:tcW w:type="dxa" w:w="9746"/>
            <w:shd w:fill="EAF0FA" w:val="clear"/>
            <w:tcMar>
              <w:top w:type="dxa" w:w="140"/>
              <w:left w:type="dxa" w:w="200"/>
              <w:bottom w:type="dxa" w:w="140"/>
              <w:right w:type="dxa" w:w="200"/>
            </w:tcMar>
          </w:tcPr>
          <w:p>
            <w:r>
              <w:rPr>
                <w:b/>
                <w:bCs/>
                <w:color w:val="1F3864"/>
                <w:sz w:val="20"/>
                <w:szCs w:val="20"/>
              </w:rPr>
              <w:t>Nguồn bổ sung 2 — Đặt mức MLOR qua phối hợp hợp đồng nhà sản xuất–nhà bán lẻ</w:t>
            </w:r>
          </w:p>
          <w:p>
            <w:pPr>
              <w:spacing w:before="80"/>
            </w:pPr>
            <w:r>
              <w:rPr>
                <w:b/>
                <w:bCs/>
                <w:sz w:val="24"/>
                <w:szCs w:val="24"/>
              </w:rPr>
              <w:t>Mức MLOR được xác định qua đàm phán/phối hợp (coordination) giữa hai bên bằng mô hình hợp đồng, thay vì một bên áp đặt</w:t>
            </w:r>
          </w:p>
        </w:tc>
      </w:tr>
    </w:tbl>
    <w:p>
      <w:pPr>
        <w:spacing w:after="0" w:before="0"/>
      </w:pPr>
    </w:p>
    <w:tbl>
      <w:tblPr>
        <w:tblW w:type="dxa" w:w="9746"/>
        <w:tblBorders>
          <w:top w:val="none"/>
          <w:left w:val="single" w:color="1F3864" w:sz="4"/>
          <w:bottom w:val="single" w:color="1F3864" w:sz="4"/>
          <w:right w:val="single" w:color="1F3864" w:sz="4"/>
          <w:insideH w:val="single" w:color="C9D6EA" w:sz="2"/>
          <w:insideV w:val="single" w:color="C9D6EA" w:sz="2"/>
        </w:tblBorders>
        <w:tblLayout w:type="fixed"/>
      </w:tblPr>
      <w:tblGrid>
        <w:gridCol w:w="2400"/>
        <w:gridCol w:w="7346"/>
      </w:tblGrid>
      <w:tr>
        <w:trPr>
          <w:cantSplit/>
          <w:tblHeader w:val="true"/>
        </w:trPr>
        <w:tc>
          <w:tcPr>
            <w:tcW w:type="dxa" w:w="2400"/>
            <w:shd w:fill="FFFFFF" w:val="clear"/>
            <w:tcMar>
              <w:top w:type="dxa" w:w="100"/>
              <w:left w:type="dxa" w:w="200"/>
              <w:bottom w:type="dxa" w:w="100"/>
              <w:right w:type="dxa" w:w="120"/>
            </w:tcMar>
          </w:tcPr>
          <w:p>
            <w:r>
              <w:rPr>
                <w:b/>
                <w:bCs/>
                <w:color w:val="2E5395"/>
                <w:sz w:val="19"/>
                <w:szCs w:val="19"/>
              </w:rPr>
              <w:t>Nguồn (dẫn chứng)</w:t>
            </w:r>
          </w:p>
        </w:tc>
        <w:tc>
          <w:tcPr>
            <w:tcW w:type="dxa" w:w="7346"/>
            <w:shd w:fill="FFFFFF" w:val="clear"/>
            <w:tcMar>
              <w:top w:type="dxa" w:w="100"/>
              <w:left w:type="dxa" w:w="120"/>
              <w:bottom w:type="dxa" w:w="100"/>
              <w:right w:type="dxa" w:w="200"/>
            </w:tcMar>
          </w:tcPr>
          <w:p>
            <w:r>
              <w:rPr>
                <w:sz w:val="20"/>
                <w:szCs w:val="20"/>
              </w:rPr>
              <w:t>Mohamadi, N., Transchel, S. &amp; Fransoo, J. C. (2025). Coordinate or collaborate? Reducing food waste in perishable-product supply chains. European Journal of Operational Research, 323(3), 795–809. DOI: 10.1016/j.ejor.2024.12.039 [R19]</w:t>
            </w:r>
          </w:p>
        </w:tc>
      </w:tr>
      <w:tr>
        <w:trPr>
          <w:cantSplit/>
        </w:trPr>
        <w:tc>
          <w:tcPr>
            <w:tcW w:type="dxa" w:w="2400"/>
            <w:shd w:fill="FFFFFF" w:val="clear"/>
            <w:tcMar>
              <w:top w:type="dxa" w:w="100"/>
              <w:left w:type="dxa" w:w="200"/>
              <w:bottom w:type="dxa" w:w="100"/>
              <w:right w:type="dxa" w:w="120"/>
            </w:tcMar>
          </w:tcPr>
          <w:p>
            <w:r>
              <w:rPr>
                <w:b/>
                <w:bCs/>
                <w:color w:val="2E5395"/>
                <w:sz w:val="19"/>
                <w:szCs w:val="19"/>
              </w:rPr>
              <w:t>Mục đích</w:t>
            </w:r>
          </w:p>
        </w:tc>
        <w:tc>
          <w:tcPr>
            <w:tcW w:type="dxa" w:w="7346"/>
            <w:shd w:fill="FFFFFF" w:val="clear"/>
            <w:tcMar>
              <w:top w:type="dxa" w:w="100"/>
              <w:left w:type="dxa" w:w="120"/>
              <w:bottom w:type="dxa" w:w="100"/>
              <w:right w:type="dxa" w:w="200"/>
            </w:tcMar>
          </w:tcPr>
          <w:p>
            <w:r>
              <w:rPr>
                <w:sz w:val="20"/>
                <w:szCs w:val="20"/>
              </w:rPr>
              <w:t>Cung cấp góc nhìn thứ hai (bên cạnh R20) cho việc đặt mức MLOR bằng mô hình định lượng — lần này qua cơ chế phối hợp hợp đồng giữa nhà sản xuất và nhà bán lẻ, thay vì tối ưu một phía.</w:t>
            </w:r>
          </w:p>
        </w:tc>
      </w:tr>
      <w:tr>
        <w:trPr>
          <w:cantSplit/>
        </w:trPr>
        <w:tc>
          <w:tcPr>
            <w:tcW w:type="dxa" w:w="2400"/>
            <w:shd w:fill="FFFFFF" w:val="clear"/>
            <w:tcMar>
              <w:top w:type="dxa" w:w="100"/>
              <w:left w:type="dxa" w:w="200"/>
              <w:bottom w:type="dxa" w:w="100"/>
              <w:right w:type="dxa" w:w="120"/>
            </w:tcMar>
          </w:tcPr>
          <w:p>
            <w:r>
              <w:rPr>
                <w:b/>
                <w:bCs/>
                <w:color w:val="2E5395"/>
                <w:sz w:val="19"/>
                <w:szCs w:val="19"/>
              </w:rPr>
              <w:t>Vấn đề giải quyết</w:t>
            </w:r>
          </w:p>
        </w:tc>
        <w:tc>
          <w:tcPr>
            <w:tcW w:type="dxa" w:w="7346"/>
            <w:shd w:fill="FFFFFF" w:val="clear"/>
            <w:tcMar>
              <w:top w:type="dxa" w:w="100"/>
              <w:left w:type="dxa" w:w="120"/>
              <w:bottom w:type="dxa" w:w="100"/>
              <w:right w:type="dxa" w:w="200"/>
            </w:tcMar>
            <w:vAlign w:val="center"/>
          </w:tcPr>
          <w:p>
            <w:pPr>
              <w:spacing w:before="0" w:after="0"/>
            </w:pPr>
            <w:r>
              <w:rPr>
                <w:b w:val="0"/>
                <w:sz w:val="18"/>
              </w:rPr>
              <w:t>Cho thấy MLOR có thể là quyết định phối hợp/đàm phán giữa các bên trong supply chain, phù hợp khi muốn mô hình hoá quan hệ nhà phân phối–nhà bán lẻ thay vì coi ngưỡng luôn do một phía áp đặt.</w:t>
            </w:r>
          </w:p>
        </w:tc>
      </w:tr>
      <w:tr>
        <w:trPr>
          <w:cantSplit/>
        </w:trPr>
        <w:tc>
          <w:tcPr>
            <w:tcW w:type="dxa" w:w="2400"/>
            <w:shd w:fill="FFFFFF" w:val="clear"/>
            <w:tcMar>
              <w:top w:type="dxa" w:w="100"/>
              <w:left w:type="dxa" w:w="200"/>
              <w:bottom w:type="dxa" w:w="100"/>
              <w:right w:type="dxa" w:w="120"/>
            </w:tcMar>
          </w:tcPr>
          <w:p>
            <w:r>
              <w:rPr>
                <w:b/>
                <w:bCs/>
                <w:color w:val="2E5395"/>
                <w:sz w:val="19"/>
                <w:szCs w:val="19"/>
              </w:rPr>
              <w:t>Tại sao chọn công thức này</w:t>
            </w:r>
          </w:p>
        </w:tc>
        <w:tc>
          <w:tcPr>
            <w:tcW w:type="dxa" w:w="7346"/>
            <w:shd w:fill="FFFFFF" w:val="clear"/>
            <w:tcMar>
              <w:top w:type="dxa" w:w="100"/>
              <w:left w:type="dxa" w:w="120"/>
              <w:bottom w:type="dxa" w:w="100"/>
              <w:right w:type="dxa" w:w="200"/>
            </w:tcMar>
          </w:tcPr>
          <w:p>
            <w:r>
              <w:rPr>
                <w:sz w:val="20"/>
                <w:szCs w:val="20"/>
              </w:rPr>
              <w:t>Rất mới (2025), cùng tạp chí European Journal of Operational Research với R15 đã có trong file (top-tier, publish cùng EURO). Cũng so sánh FIFO với các chính sách phối hợp khác, củng cố thêm luận điểm không dùng FIFO/FEFO thuần túy.</w:t>
            </w:r>
          </w:p>
        </w:tc>
      </w:tr>
      <w:tr>
        <w:trPr>
          <w:cantSplit/>
        </w:trPr>
        <w:tc>
          <w:tcPr>
            <w:tcW w:type="dxa" w:w="2400"/>
            <w:shd w:fill="FFFFFF" w:val="clear"/>
            <w:tcMar>
              <w:top w:type="dxa" w:w="100"/>
              <w:left w:type="dxa" w:w="200"/>
              <w:bottom w:type="dxa" w:w="100"/>
              <w:right w:type="dxa" w:w="120"/>
            </w:tcMar>
          </w:tcPr>
          <w:p>
            <w:r>
              <w:rPr>
                <w:b/>
                <w:bCs/>
                <w:color w:val="2E5395"/>
                <w:sz w:val="19"/>
                <w:szCs w:val="19"/>
              </w:rPr>
              <w:t>Giới hạn / không được claim</w:t>
            </w:r>
          </w:p>
        </w:tc>
        <w:tc>
          <w:tcPr>
            <w:tcW w:type="dxa" w:w="7346"/>
            <w:shd w:fill="FFFFFF" w:val="clear"/>
            <w:tcMar>
              <w:top w:type="dxa" w:w="100"/>
              <w:left w:type="dxa" w:w="120"/>
              <w:bottom w:type="dxa" w:w="100"/>
              <w:right w:type="dxa" w:w="200"/>
            </w:tcMar>
          </w:tcPr>
          <w:p>
            <w:r>
              <w:rPr>
                <w:sz w:val="20"/>
                <w:szCs w:val="20"/>
              </w:rPr>
              <w:t>Cũng không đề cập Min-RSL phía người tiêu dùng. Là một lựa chọn khác của R20 cho điều kiện (a) — dùng MỘT trong hai (R20 hoặc R21), không cần dùng cả hai, tuỳ đồ án muốn mô hình một phía tối ưu hay hai phía đàm phán.</w:t>
            </w:r>
          </w:p>
        </w:tc>
      </w:tr>
    </w:tbl>
    <w:p>
      <w:pPr>
        <w:spacing w:after="80"/>
      </w:pPr>
    </w:p>
    <w:tbl>
      <w:tblPr>
        <w:tblW w:type="dxa" w:w="9746"/>
        <w:tblBorders>
          <w:top w:val="single" w:color="9C5700" w:sz="4"/>
          <w:left w:val="single" w:color="9C5700" w:sz="24"/>
          <w:bottom w:val="single" w:color="9C5700" w:sz="4"/>
          <w:right w:val="single" w:color="9C5700" w:sz="4"/>
          <w:insideH w:val="none"/>
          <w:insideV w:val="none"/>
        </w:tblBorders>
        <w:tblLayout w:type="fixed"/>
      </w:tblPr>
      <w:tblGrid>
        <w:gridCol w:w="9746"/>
      </w:tblGrid>
      <w:tr>
        <w:trPr>
          <w:cantSplit/>
        </w:trPr>
        <w:tc>
          <w:tcPr>
            <w:tcW w:type="dxa" w:w="9746"/>
            <w:shd w:fill="FFFFFF" w:val="clear"/>
            <w:tcMar>
              <w:top w:type="dxa" w:w="120"/>
              <w:left w:type="dxa" w:w="220"/>
              <w:bottom w:type="dxa" w:w="120"/>
              <w:right w:type="dxa" w:w="200"/>
            </w:tcMar>
          </w:tcPr>
          <w:p>
            <w:pPr>
              <w:spacing w:after="60"/>
            </w:pPr>
            <w:r>
              <w:rPr>
                <w:b/>
                <w:bCs/>
                <w:color w:val="9C5700"/>
                <w:sz w:val="21"/>
                <w:szCs w:val="21"/>
              </w:rPr>
              <w:t>Đã tìm nhưng chưa có nguồn duy nhất giải quyết trọn vẹn Mô hình 7</w:t>
            </w:r>
          </w:p>
          <w:p>
            <w:r>
              <w:rPr>
                <w:sz w:val="21"/>
                <w:szCs w:val="21"/>
              </w:rPr>
              <w:t>Đã tìm kiếm mở rộng theo nhiều hướng (tìm trực tiếp "MLOR và Min-RSL kết hợp", dò các bài trích dẫn tiếp Pal &amp; Kant, dò các bài mới nhất 2023–2025 về MLOR) nhưng không tìm được một bài báo duy nhất mô hình hoá đồng thời cả MLOR phía nhà bán lẻ và Min-RSL phía người tiêu dùng trong cùng một công thức. R20 và R21 chỉ nâng cấp riêng phần (a); phần (b) vẫn chỉ có R5. Đây là bằng chứng cho thấy việc tích hợp ở Mô hình 7 là cần thiết và có chủ đích, không phải vì chưa tìm đủ kỹ — nên trình bày rõ điều này nếu hội đồng hỏi tại sao không dùng một mô hình có sẵn.</w:t>
            </w:r>
          </w:p>
        </w:tc>
      </w:tr>
    </w:tbl>
    <w:p>
      <w:pPr>
        <w:spacing w:after="120"/>
      </w:pPr>
    </w:p>
    <w:p>
      <w:pPr>
        <w:pStyle w:val="Heading2"/>
        <w:spacing w:after="120" w:before="260"/>
      </w:pPr>
      <w:r>
        <w:rPr>
          <w:b/>
          <w:bCs/>
          <w:color w:val="2E5395"/>
          <w:sz w:val="25"/>
          <w:szCs w:val="25"/>
        </w:rPr>
        <w:t>3.5. Kiểm tra khả thi theo lô, rồi mới áp dụng FEFO</w:t>
      </w:r>
    </w:p>
    <w:p>
      <w:pPr>
        <w:spacing w:after="140" w:line="300"/>
      </w:pPr>
      <w:r>
        <w:rPr>
          <w:sz w:val="22"/>
          <w:szCs w:val="22"/>
        </w:rPr>
        <w:t>Đây là phần trả lời trực tiếp Câu hỏi 2 — cơ chế giải quyết "mâu thuẫn" giữa dùng hàng hạn ngắn nhất và bảo vệ người tiêu dùng.</w:t>
      </w:r>
    </w:p>
    <w:tbl>
      <w:tblPr>
        <w:tblW w:type="dxa" w:w="9746"/>
        <w:tblBorders>
          <w:top w:val="single" w:color="1F3864" w:sz="4"/>
          <w:left w:val="single" w:color="1F3864" w:sz="4"/>
          <w:bottom w:val="none"/>
          <w:right w:val="single" w:color="1F3864" w:sz="4"/>
          <w:insideH w:val="none"/>
          <w:insideV w:val="none"/>
        </w:tblBorders>
        <w:tblLayout w:type="fixed"/>
      </w:tblPr>
      <w:tblGrid>
        <w:gridCol w:w="9746"/>
      </w:tblGrid>
      <w:tr>
        <w:trPr>
          <w:cantSplit/>
        </w:trPr>
        <w:tc>
          <w:tcPr>
            <w:tcW w:type="dxa" w:w="9746"/>
            <w:shd w:fill="EAF2F8" w:val="clear"/>
            <w:tcMar>
              <w:top w:type="dxa" w:w="140"/>
              <w:left w:type="dxa" w:w="200"/>
              <w:bottom w:type="dxa" w:w="140"/>
              <w:right w:type="dxa" w:w="200"/>
            </w:tcMar>
            <w:vAlign w:val="center"/>
          </w:tcPr>
          <w:p>
            <w:pPr>
              <w:spacing w:before="0" w:after="0"/>
            </w:pPr>
            <w:r>
              <w:rPr>
                <w:b w:val="0"/>
                <w:sz w:val="19"/>
              </w:rPr>
              <w:t>Mô hình 8 — Nền tảng literature cho shelf-life feasibility (Eq.8, Pal &amp; Kant)</w:t>
              <w:br/>
              <w:t>max Σᵢ Σⱼ U(Sᵢ − Tⱼ − Cⱼ) · xᵢⱼ, U(y)=1 nếu y≥0, ngược lại=0</w:t>
              <w:br/>
              <w:t>Vai trò: cơ sở/benchmark cho cấu trúc Sᵢ−Tⱼ−Cⱼ của Mô hình 7, KHÔNG chạy thêm như một eligibility filter lặp lại.</w:t>
            </w:r>
          </w:p>
        </w:tc>
      </w:tr>
    </w:tbl>
    <w:p>
      <w:pPr>
        <w:spacing w:after="0" w:before="0"/>
      </w:pPr>
    </w:p>
    <w:tbl>
      <w:tblPr>
        <w:tblW w:type="dxa" w:w="9746"/>
        <w:tblBorders>
          <w:top w:val="none"/>
          <w:left w:val="single" w:color="1F3864" w:sz="4"/>
          <w:bottom w:val="single" w:color="1F3864" w:sz="4"/>
          <w:right w:val="single" w:color="1F3864" w:sz="4"/>
          <w:insideH w:val="single" w:color="C9D6EA" w:sz="2"/>
          <w:insideV w:val="single" w:color="C9D6EA" w:sz="2"/>
        </w:tblBorders>
        <w:tblLayout w:type="fixed"/>
      </w:tblPr>
      <w:tblGrid>
        <w:gridCol w:w="2400"/>
        <w:gridCol w:w="7346"/>
      </w:tblGrid>
      <w:tr>
        <w:trPr>
          <w:cantSplit/>
          <w:tblHeader w:val="true"/>
        </w:trPr>
        <w:tc>
          <w:tcPr>
            <w:tcW w:type="dxa" w:w="2400"/>
            <w:shd w:fill="FFFFFF" w:val="clear"/>
            <w:tcMar>
              <w:top w:type="dxa" w:w="100"/>
              <w:left w:type="dxa" w:w="200"/>
              <w:bottom w:type="dxa" w:w="100"/>
              <w:right w:type="dxa" w:w="120"/>
            </w:tcMar>
          </w:tcPr>
          <w:p>
            <w:r>
              <w:rPr>
                <w:b/>
                <w:bCs/>
                <w:color w:val="2E5395"/>
                <w:sz w:val="19"/>
                <w:szCs w:val="19"/>
              </w:rPr>
              <w:t>Nguồn (dẫn chứng)</w:t>
            </w:r>
          </w:p>
        </w:tc>
        <w:tc>
          <w:tcPr>
            <w:tcW w:type="dxa" w:w="7346"/>
            <w:shd w:fill="FFFFFF" w:val="clear"/>
            <w:tcMar>
              <w:top w:type="dxa" w:w="100"/>
              <w:left w:type="dxa" w:w="120"/>
              <w:bottom w:type="dxa" w:w="100"/>
              <w:right w:type="dxa" w:w="200"/>
            </w:tcMar>
          </w:tcPr>
          <w:p>
            <w:r>
              <w:rPr>
                <w:sz w:val="20"/>
                <w:szCs w:val="20"/>
              </w:rPr>
              <w:t>Pal, A. &amp; Kant, K. (2020). ACM Transactions on Sensor Networks, 16(1), Article 12, mục 8.1, trang 12:21–12:23, Eq.(8). DOI: 10.1145/3360726 [R7]</w:t>
            </w:r>
          </w:p>
        </w:tc>
      </w:tr>
      <w:tr>
        <w:trPr>
          <w:cantSplit/>
        </w:trPr>
        <w:tc>
          <w:tcPr>
            <w:tcW w:type="dxa" w:w="2400"/>
            <w:shd w:fill="FFFFFF" w:val="clear"/>
            <w:tcMar>
              <w:top w:type="dxa" w:w="100"/>
              <w:left w:type="dxa" w:w="200"/>
              <w:bottom w:type="dxa" w:w="100"/>
              <w:right w:type="dxa" w:w="120"/>
            </w:tcMar>
          </w:tcPr>
          <w:p>
            <w:r>
              <w:rPr>
                <w:b/>
                <w:bCs/>
                <w:color w:val="2E5395"/>
                <w:sz w:val="19"/>
                <w:szCs w:val="19"/>
              </w:rPr>
              <w:t>Mục đích</w:t>
            </w:r>
          </w:p>
        </w:tc>
        <w:tc>
          <w:tcPr>
            <w:tcW w:type="dxa" w:w="7346"/>
            <w:shd w:fill="FFFFFF" w:val="clear"/>
            <w:tcMar>
              <w:top w:type="dxa" w:w="100"/>
              <w:left w:type="dxa" w:w="120"/>
              <w:bottom w:type="dxa" w:w="100"/>
              <w:right w:type="dxa" w:w="200"/>
            </w:tcMar>
            <w:vAlign w:val="center"/>
          </w:tcPr>
          <w:p>
            <w:pPr>
              <w:spacing w:before="0" w:after="0"/>
            </w:pPr>
            <w:r>
              <w:rPr>
                <w:b w:val="0"/>
                <w:sz w:val="18"/>
              </w:rPr>
              <w:t>Cung cấp công thức gốc để đánh giá pallet–destination theo RSL, transit time và consumption time; đồ án dùng cấu trúc này làm nền cho điều kiện (b) của Mô hình 7.</w:t>
            </w:r>
          </w:p>
        </w:tc>
      </w:tr>
      <w:tr>
        <w:trPr>
          <w:cantSplit/>
        </w:trPr>
        <w:tc>
          <w:tcPr>
            <w:tcW w:type="dxa" w:w="2400"/>
            <w:shd w:fill="FFFFFF" w:val="clear"/>
            <w:tcMar>
              <w:top w:type="dxa" w:w="100"/>
              <w:left w:type="dxa" w:w="200"/>
              <w:bottom w:type="dxa" w:w="100"/>
              <w:right w:type="dxa" w:w="120"/>
            </w:tcMar>
          </w:tcPr>
          <w:p>
            <w:r>
              <w:rPr>
                <w:b/>
                <w:bCs/>
                <w:color w:val="2E5395"/>
                <w:sz w:val="19"/>
                <w:szCs w:val="19"/>
              </w:rPr>
              <w:t>Vấn đề giải quyết</w:t>
            </w:r>
          </w:p>
        </w:tc>
        <w:tc>
          <w:tcPr>
            <w:tcW w:type="dxa" w:w="7346"/>
            <w:shd w:fill="FFFFFF" w:val="clear"/>
            <w:tcMar>
              <w:top w:type="dxa" w:w="100"/>
              <w:left w:type="dxa" w:w="120"/>
              <w:bottom w:type="dxa" w:w="100"/>
              <w:right w:type="dxa" w:w="200"/>
            </w:tcMar>
            <w:vAlign w:val="center"/>
          </w:tcPr>
          <w:p>
            <w:pPr>
              <w:spacing w:before="0" w:after="0"/>
            </w:pPr>
            <w:r>
              <w:rPr>
                <w:b w:val="0"/>
                <w:sz w:val="18"/>
              </w:rPr>
              <w:t>Cung cấp evidence rằng FEFO/oldest-first nếu bỏ qua transit và destination consumption có thể tạo allocation kém. Implementation dùng Mô hình 7 đã mở rộng thêm MLOR và positive Min-RSL target.</w:t>
            </w:r>
          </w:p>
        </w:tc>
      </w:tr>
      <w:tr>
        <w:trPr>
          <w:cantSplit/>
        </w:trPr>
        <w:tc>
          <w:tcPr>
            <w:tcW w:type="dxa" w:w="2400"/>
            <w:shd w:fill="FFFFFF" w:val="clear"/>
            <w:tcMar>
              <w:top w:type="dxa" w:w="100"/>
              <w:left w:type="dxa" w:w="200"/>
              <w:bottom w:type="dxa" w:w="100"/>
              <w:right w:type="dxa" w:w="120"/>
            </w:tcMar>
          </w:tcPr>
          <w:p>
            <w:r>
              <w:rPr>
                <w:b/>
                <w:bCs/>
                <w:color w:val="2E5395"/>
                <w:sz w:val="19"/>
                <w:szCs w:val="19"/>
              </w:rPr>
              <w:t>Tại sao chọn công thức này</w:t>
            </w:r>
          </w:p>
        </w:tc>
        <w:tc>
          <w:tcPr>
            <w:tcW w:type="dxa" w:w="7346"/>
            <w:shd w:fill="FFFFFF" w:val="clear"/>
            <w:tcMar>
              <w:top w:type="dxa" w:w="100"/>
              <w:left w:type="dxa" w:w="120"/>
              <w:bottom w:type="dxa" w:w="100"/>
              <w:right w:type="dxa" w:w="200"/>
            </w:tcMar>
          </w:tcPr>
          <w:p>
            <w:r>
              <w:rPr>
                <w:sz w:val="20"/>
                <w:szCs w:val="20"/>
              </w:rPr>
              <w:t>Chính bài báo gốc đã chứng minh bằng ví dụ số rằng FEFO đơn thuần ("mù", không xét transit/consumption) có thể cho utility thấp hơn nhiều so với ghép thông minh theo hạn–vận chuyển–tiêu thụ (ví dụ minh hoạ trong bài báo: FEFO đạt utility = 2 trong khi ghép thông minh đạt utility = 4). Đây là bằng chứng trực tiếp, đã qua bình duyệt, cho việc TẠI SAO KHÔNG chỉ dùng FEFO đơn thuần — trả lời đúng yêu cầu "cho thấy tại sao không dùng phép toán khác".</w:t>
            </w:r>
          </w:p>
        </w:tc>
      </w:tr>
      <w:tr>
        <w:trPr>
          <w:cantSplit/>
        </w:trPr>
        <w:tc>
          <w:tcPr>
            <w:tcW w:type="dxa" w:w="2400"/>
            <w:shd w:fill="FFFFFF" w:val="clear"/>
            <w:tcMar>
              <w:top w:type="dxa" w:w="100"/>
              <w:left w:type="dxa" w:w="200"/>
              <w:bottom w:type="dxa" w:w="100"/>
              <w:right w:type="dxa" w:w="120"/>
            </w:tcMar>
          </w:tcPr>
          <w:p>
            <w:r>
              <w:rPr>
                <w:b/>
                <w:bCs/>
                <w:color w:val="2E5395"/>
                <w:sz w:val="19"/>
                <w:szCs w:val="19"/>
              </w:rPr>
              <w:t>Giới hạn / không được claim</w:t>
            </w:r>
          </w:p>
        </w:tc>
        <w:tc>
          <w:tcPr>
            <w:tcW w:type="dxa" w:w="7346"/>
            <w:shd w:fill="FFFFFF" w:val="clear"/>
            <w:tcMar>
              <w:top w:type="dxa" w:w="100"/>
              <w:left w:type="dxa" w:w="120"/>
              <w:bottom w:type="dxa" w:w="100"/>
              <w:right w:type="dxa" w:w="200"/>
            </w:tcMar>
            <w:vAlign w:val="center"/>
          </w:tcPr>
          <w:p>
            <w:pPr>
              <w:spacing w:before="0" w:after="0"/>
            </w:pPr>
            <w:r>
              <w:rPr>
                <w:b w:val="0"/>
                <w:sz w:val="18"/>
              </w:rPr>
              <w:t>Cⱼ trong Pal &amp; Kant dựa trên local demand/consumption. Trong bài toán này, Cⱼ phải được hiệu chỉnh từ order history + stock-on-hand + Sales confirmation; uncertainty cao thì chỉ claim planning-stage protection.</w:t>
            </w:r>
          </w:p>
        </w:tc>
      </w:tr>
    </w:tbl>
    <w:p>
      <w:pPr>
        <w:spacing w:after="80"/>
      </w:pPr>
    </w:p>
    <w:tbl>
      <w:tblPr>
        <w:tblW w:type="dxa" w:w="9746"/>
        <w:tblBorders>
          <w:top w:val="single" w:color="1F3864" w:sz="4"/>
          <w:left w:val="single" w:color="1F3864" w:sz="4"/>
          <w:bottom w:val="none"/>
          <w:right w:val="single" w:color="1F3864" w:sz="4"/>
          <w:insideH w:val="none"/>
          <w:insideV w:val="none"/>
        </w:tblBorders>
        <w:tblLayout w:type="fixed"/>
      </w:tblPr>
      <w:tblGrid>
        <w:gridCol w:w="9746"/>
      </w:tblGrid>
      <w:tr>
        <w:trPr>
          <w:cantSplit/>
        </w:trPr>
        <w:tc>
          <w:tcPr>
            <w:tcW w:type="dxa" w:w="9746"/>
            <w:shd w:fill="EAF2F8" w:val="clear"/>
            <w:tcMar>
              <w:top w:type="dxa" w:w="140"/>
              <w:left w:type="dxa" w:w="200"/>
              <w:bottom w:type="dxa" w:w="140"/>
              <w:right w:type="dxa" w:w="200"/>
            </w:tcMar>
            <w:vAlign w:val="center"/>
          </w:tcPr>
          <w:p>
            <w:pPr>
              <w:spacing w:before="0" w:after="0"/>
            </w:pPr>
            <w:r>
              <w:rPr>
                <w:b w:val="0"/>
                <w:sz w:val="19"/>
              </w:rPr>
              <w:t>Mô hình 9 — FEFO trong tập đã lọc khả thi</w:t>
              <w:br/>
              <w:t>Trong tập {i : lô i thoả Mô hình 7 đối với điểm đến j}, ưu tiên lô có Sᵢ nhỏ nhất trước. Mô hình 8 là literature base/benchmark, không phải điều kiện lọc thứ hai.</w:t>
            </w:r>
          </w:p>
        </w:tc>
      </w:tr>
    </w:tbl>
    <w:p>
      <w:pPr>
        <w:spacing w:after="0" w:before="0"/>
      </w:pPr>
    </w:p>
    <w:tbl>
      <w:tblPr>
        <w:tblW w:type="dxa" w:w="9746"/>
        <w:tblBorders>
          <w:top w:val="none"/>
          <w:left w:val="single" w:color="1F3864" w:sz="4"/>
          <w:bottom w:val="single" w:color="1F3864" w:sz="4"/>
          <w:right w:val="single" w:color="1F3864" w:sz="4"/>
          <w:insideH w:val="single" w:color="C9D6EA" w:sz="2"/>
          <w:insideV w:val="single" w:color="C9D6EA" w:sz="2"/>
        </w:tblBorders>
        <w:tblLayout w:type="fixed"/>
      </w:tblPr>
      <w:tblGrid>
        <w:gridCol w:w="2400"/>
        <w:gridCol w:w="7346"/>
      </w:tblGrid>
      <w:tr>
        <w:trPr>
          <w:cantSplit/>
          <w:tblHeader w:val="true"/>
        </w:trPr>
        <w:tc>
          <w:tcPr>
            <w:tcW w:type="dxa" w:w="2400"/>
            <w:shd w:fill="FFFFFF" w:val="clear"/>
            <w:tcMar>
              <w:top w:type="dxa" w:w="100"/>
              <w:left w:type="dxa" w:w="200"/>
              <w:bottom w:type="dxa" w:w="100"/>
              <w:right w:type="dxa" w:w="120"/>
            </w:tcMar>
          </w:tcPr>
          <w:p>
            <w:r>
              <w:rPr>
                <w:b/>
                <w:bCs/>
                <w:color w:val="2E5395"/>
                <w:sz w:val="19"/>
                <w:szCs w:val="19"/>
              </w:rPr>
              <w:t>Nguồn (dẫn chứng)</w:t>
            </w:r>
          </w:p>
        </w:tc>
        <w:tc>
          <w:tcPr>
            <w:tcW w:type="dxa" w:w="7346"/>
            <w:shd w:fill="FFFFFF" w:val="clear"/>
            <w:tcMar>
              <w:top w:type="dxa" w:w="100"/>
              <w:left w:type="dxa" w:w="120"/>
              <w:bottom w:type="dxa" w:w="100"/>
              <w:right w:type="dxa" w:w="200"/>
            </w:tcMar>
          </w:tcPr>
          <w:p>
            <w:r>
              <w:rPr>
                <w:sz w:val="20"/>
                <w:szCs w:val="20"/>
              </w:rPr>
              <w:t>Rozhkov, M., Ivanov, D., Blackhurst, J. &amp; Nair, A. (2022). Omega, 110, 102635, Sec.3.2.1, trang 15–17, Eq.(2)–(3). DOI: 10.1016/j.omega.2022.102635 [R8]</w:t>
            </w:r>
          </w:p>
        </w:tc>
      </w:tr>
      <w:tr>
        <w:trPr>
          <w:cantSplit/>
        </w:trPr>
        <w:tc>
          <w:tcPr>
            <w:tcW w:type="dxa" w:w="2400"/>
            <w:shd w:fill="FFFFFF" w:val="clear"/>
            <w:tcMar>
              <w:top w:type="dxa" w:w="100"/>
              <w:left w:type="dxa" w:w="200"/>
              <w:bottom w:type="dxa" w:w="100"/>
              <w:right w:type="dxa" w:w="120"/>
            </w:tcMar>
          </w:tcPr>
          <w:p>
            <w:r>
              <w:rPr>
                <w:b/>
                <w:bCs/>
                <w:color w:val="2E5395"/>
                <w:sz w:val="19"/>
                <w:szCs w:val="19"/>
              </w:rPr>
              <w:t>Mục đích</w:t>
            </w:r>
          </w:p>
        </w:tc>
        <w:tc>
          <w:tcPr>
            <w:tcW w:type="dxa" w:w="7346"/>
            <w:shd w:fill="FFFFFF" w:val="clear"/>
            <w:tcMar>
              <w:top w:type="dxa" w:w="100"/>
              <w:left w:type="dxa" w:w="120"/>
              <w:bottom w:type="dxa" w:w="100"/>
              <w:right w:type="dxa" w:w="200"/>
            </w:tcMar>
          </w:tcPr>
          <w:p>
            <w:r>
              <w:rPr>
                <w:sz w:val="20"/>
                <w:szCs w:val="20"/>
              </w:rPr>
              <w:t>Trong số các lô ĐÃ được xác nhận an toàn (đủ hạn tới tay người tiêu dùng và đúng cam kết với nhà bán lẻ), ưu tiên xuất lô sắp hết hạn trước để giảm huỷ hàng cho doanh nghiệp.</w:t>
            </w:r>
          </w:p>
        </w:tc>
      </w:tr>
      <w:tr>
        <w:trPr>
          <w:cantSplit/>
        </w:trPr>
        <w:tc>
          <w:tcPr>
            <w:tcW w:type="dxa" w:w="2400"/>
            <w:shd w:fill="FFFFFF" w:val="clear"/>
            <w:tcMar>
              <w:top w:type="dxa" w:w="100"/>
              <w:left w:type="dxa" w:w="200"/>
              <w:bottom w:type="dxa" w:w="100"/>
              <w:right w:type="dxa" w:w="120"/>
            </w:tcMar>
          </w:tcPr>
          <w:p>
            <w:r>
              <w:rPr>
                <w:b/>
                <w:bCs/>
                <w:color w:val="2E5395"/>
                <w:sz w:val="19"/>
                <w:szCs w:val="19"/>
              </w:rPr>
              <w:t>Vấn đề giải quyết</w:t>
            </w:r>
          </w:p>
        </w:tc>
        <w:tc>
          <w:tcPr>
            <w:tcW w:type="dxa" w:w="7346"/>
            <w:shd w:fill="FFFFFF" w:val="clear"/>
            <w:tcMar>
              <w:top w:type="dxa" w:w="100"/>
              <w:left w:type="dxa" w:w="120"/>
              <w:bottom w:type="dxa" w:w="100"/>
              <w:right w:type="dxa" w:w="200"/>
            </w:tcMar>
          </w:tcPr>
          <w:p>
            <w:r>
              <w:rPr>
                <w:sz w:val="20"/>
                <w:szCs w:val="20"/>
              </w:rPr>
              <w:t>Đây là nửa còn lại của câu trả lời cho Câu hỏi 2: sau khi loại bỏ rủi ro (Mô hình 7), phần "dùng hàng hạn ngắn nhất có thể" mới được áp dụng — nghĩa là ngắn nhất TRONG SỐ các lựa chọn đã an toàn, không phải ngắn nhất tuyệt đối.</w:t>
            </w:r>
          </w:p>
        </w:tc>
      </w:tr>
      <w:tr>
        <w:trPr>
          <w:cantSplit/>
        </w:trPr>
        <w:tc>
          <w:tcPr>
            <w:tcW w:type="dxa" w:w="2400"/>
            <w:shd w:fill="FFFFFF" w:val="clear"/>
            <w:tcMar>
              <w:top w:type="dxa" w:w="100"/>
              <w:left w:type="dxa" w:w="200"/>
              <w:bottom w:type="dxa" w:w="100"/>
              <w:right w:type="dxa" w:w="120"/>
            </w:tcMar>
          </w:tcPr>
          <w:p>
            <w:r>
              <w:rPr>
                <w:b/>
                <w:bCs/>
                <w:color w:val="2E5395"/>
                <w:sz w:val="19"/>
                <w:szCs w:val="19"/>
              </w:rPr>
              <w:t>Tại sao chọn công thức này</w:t>
            </w:r>
          </w:p>
        </w:tc>
        <w:tc>
          <w:tcPr>
            <w:tcW w:type="dxa" w:w="7346"/>
            <w:shd w:fill="FFFFFF" w:val="clear"/>
            <w:tcMar>
              <w:top w:type="dxa" w:w="100"/>
              <w:left w:type="dxa" w:w="120"/>
              <w:bottom w:type="dxa" w:w="100"/>
              <w:right w:type="dxa" w:w="200"/>
            </w:tcMar>
          </w:tcPr>
          <w:p>
            <w:r>
              <w:rPr>
                <w:sz w:val="20"/>
                <w:szCs w:val="20"/>
              </w:rPr>
              <w:t>Bài báo cho thấy chính xác trình tự này (ngưỡng khả thi trước, FEFO sau) đã được áp dụng và có cơ sở trong vận hành chuỗi cung ứng thực tế (giai đoạn thích ứng vận hành trong và sau COVID-19) — không phải một quy tắc tự đặt ra.</w:t>
            </w:r>
          </w:p>
        </w:tc>
      </w:tr>
      <w:tr>
        <w:trPr>
          <w:cantSplit/>
        </w:trPr>
        <w:tc>
          <w:tcPr>
            <w:tcW w:type="dxa" w:w="2400"/>
            <w:shd w:fill="FFFFFF" w:val="clear"/>
            <w:tcMar>
              <w:top w:type="dxa" w:w="100"/>
              <w:left w:type="dxa" w:w="200"/>
              <w:bottom w:type="dxa" w:w="100"/>
              <w:right w:type="dxa" w:w="120"/>
            </w:tcMar>
          </w:tcPr>
          <w:p>
            <w:r>
              <w:rPr>
                <w:b/>
                <w:bCs/>
                <w:color w:val="2E5395"/>
                <w:sz w:val="19"/>
                <w:szCs w:val="19"/>
              </w:rPr>
              <w:t>Giới hạn / không được claim</w:t>
            </w:r>
          </w:p>
        </w:tc>
        <w:tc>
          <w:tcPr>
            <w:tcW w:type="dxa" w:w="7346"/>
            <w:shd w:fill="FFFFFF" w:val="clear"/>
            <w:tcMar>
              <w:top w:type="dxa" w:w="100"/>
              <w:left w:type="dxa" w:w="120"/>
              <w:bottom w:type="dxa" w:w="100"/>
              <w:right w:type="dxa" w:w="200"/>
            </w:tcMar>
          </w:tcPr>
          <w:p>
            <w:r>
              <w:rPr>
                <w:sz w:val="20"/>
                <w:szCs w:val="20"/>
              </w:rPr>
              <w:t>Chỉ dùng phần logic thứ tự (ngưỡng → FEFO); không áp dụng trực tiếp các kết quả định lượng riêng về đại dịch COVID-19 của bài báo vào bài toán của đồ án.</w:t>
            </w:r>
          </w:p>
        </w:tc>
      </w:tr>
    </w:tbl>
    <w:p>
      <w:pPr>
        <w:spacing w:after="120"/>
      </w:pPr>
    </w:p>
    <w:tbl>
      <w:tblPr>
        <w:tblW w:type="dxa" w:w="9746"/>
        <w:tblBorders>
          <w:top w:val="single" w:color="1E7145" w:sz="4"/>
          <w:left w:val="single" w:color="1E7145" w:sz="24"/>
          <w:bottom w:val="single" w:color="1E7145" w:sz="4"/>
          <w:right w:val="single" w:color="1E7145" w:sz="4"/>
          <w:insideH w:val="none"/>
          <w:insideV w:val="none"/>
        </w:tblBorders>
        <w:tblLayout w:type="fixed"/>
      </w:tblPr>
      <w:tblGrid>
        <w:gridCol w:w="9746"/>
      </w:tblGrid>
      <w:tr>
        <w:trPr>
          <w:cantSplit/>
        </w:trPr>
        <w:tc>
          <w:tcPr>
            <w:tcW w:type="dxa" w:w="9746"/>
            <w:shd w:fill="F2FBF4" w:val="clear"/>
            <w:tcMar>
              <w:top w:type="dxa" w:w="120"/>
              <w:left w:type="dxa" w:w="220"/>
              <w:bottom w:type="dxa" w:w="120"/>
              <w:right w:type="dxa" w:w="200"/>
            </w:tcMar>
          </w:tcPr>
          <w:p>
            <w:r>
              <w:rPr>
                <w:b w:val="0"/>
                <w:sz w:val="18"/>
              </w:rPr>
              <w:t>Tóm tắt cách giải quyết Câu hỏi 2</w:t>
              <w:br/>
              <w:t>Không dùng FEFO như bộ lọc duy nhất. Bước 1: Mô hình 7 kiểm tra đồng thời contractual MLOR và Consumer Min-RSL; phần Sᵢ−Tⱼ−Cⱼ được đặt trên nền tảng Eq.(8) của Pal &amp; Kant (Mô hình 8). Bước 2: chỉ trong tập lô đã hợp lệ mới áp dụng FEFO (Mô hình 9) để ưu tiên lô hết hạn sớm hơn. Như vậy freshness/service là điều kiện bắt buộc, còn waste/cost được tối ưu sau.</w:t>
            </w:r>
          </w:p>
        </w:tc>
      </w:tr>
    </w:tbl>
    <w:p>
      <w:pPr>
        <w:spacing w:after="120"/>
      </w:pPr>
    </w:p>
    <w:p>
      <w:pPr>
        <w:pStyle w:val="Heading2"/>
        <w:spacing w:after="120" w:before="260"/>
      </w:pPr>
      <w:r>
        <w:rPr>
          <w:b/>
          <w:bCs/>
          <w:color w:val="2E5395"/>
          <w:sz w:val="25"/>
          <w:szCs w:val="25"/>
        </w:rPr>
        <w:t>3.6. Vì sao dùng ràng buộc cứng thay vì một công thức điểm số duy nhất?</w:t>
      </w:r>
    </w:p>
    <w:p>
      <w:pPr>
        <w:spacing w:after="140" w:line="300"/>
      </w:pPr>
      <w:r>
        <w:rPr>
          <w:sz w:val="22"/>
          <w:szCs w:val="22"/>
        </w:rPr>
        <w:t>Đây là câu trả lời trực tiếp cho yêu cầu "cho thấy tại sao không sử dụng các phép toán khác", áp dụng cho toàn bộ kiến trúc ở Mục 3.4–3.5, không riêng một công thức.</w:t>
      </w:r>
    </w:p>
    <w:tbl>
      <w:tblPr>
        <w:tblW w:type="dxa" w:w="9746"/>
        <w:tblBorders>
          <w:top w:val="single" w:color="1F3864" w:sz="4"/>
          <w:left w:val="single" w:color="1F3864" w:sz="4"/>
          <w:bottom w:val="none"/>
          <w:right w:val="single" w:color="1F3864" w:sz="4"/>
          <w:insideH w:val="none"/>
          <w:insideV w:val="none"/>
        </w:tblBorders>
        <w:tblLayout w:type="fixed"/>
      </w:tblPr>
      <w:tblGrid>
        <w:gridCol w:w="9746"/>
      </w:tblGrid>
      <w:tr>
        <w:trPr>
          <w:cantSplit/>
        </w:trPr>
        <w:tc>
          <w:tcPr>
            <w:tcW w:type="dxa" w:w="9746"/>
            <w:shd w:fill="EAF0FA" w:val="clear"/>
            <w:tcMar>
              <w:top w:type="dxa" w:w="140"/>
              <w:left w:type="dxa" w:w="200"/>
              <w:bottom w:type="dxa" w:w="140"/>
              <w:right w:type="dxa" w:w="200"/>
            </w:tcMar>
          </w:tcPr>
          <w:p>
            <w:r>
              <w:rPr>
                <w:b/>
                <w:bCs/>
                <w:color w:val="1F3864"/>
                <w:sz w:val="20"/>
                <w:szCs w:val="20"/>
              </w:rPr>
              <w:t>Cơ sở phương pháp luận — phương pháp ràng buộc-ε (ε-constraint method)</w:t>
            </w:r>
          </w:p>
          <w:p>
            <w:pPr>
              <w:spacing w:before="80"/>
            </w:pPr>
            <w:r>
              <w:rPr>
                <w:b/>
                <w:bCs/>
                <w:sz w:val="24"/>
                <w:szCs w:val="24"/>
              </w:rPr>
              <w:t>Biến các mục tiêu "mềm" (độ tươi cho người tiêu dùng, tuân thủ hợp đồng cho nhà bán lẻ) thành ràng buộc cứng có ngưỡng; chỉ tối ưu MỘT hàm mục tiêu còn lại (chi phí, đại diện lợi ích doanh nghiệp) trong vùng đã bị các ràng buộc trên giới hạn</w:t>
            </w:r>
          </w:p>
        </w:tc>
      </w:tr>
    </w:tbl>
    <w:p>
      <w:pPr>
        <w:spacing w:after="0" w:before="0"/>
      </w:pPr>
    </w:p>
    <w:tbl>
      <w:tblPr>
        <w:tblW w:type="dxa" w:w="9746"/>
        <w:tblBorders>
          <w:top w:val="none"/>
          <w:left w:val="single" w:color="1F3864" w:sz="4"/>
          <w:bottom w:val="single" w:color="1F3864" w:sz="4"/>
          <w:right w:val="single" w:color="1F3864" w:sz="4"/>
          <w:insideH w:val="single" w:color="C9D6EA" w:sz="2"/>
          <w:insideV w:val="single" w:color="C9D6EA" w:sz="2"/>
        </w:tblBorders>
        <w:tblLayout w:type="fixed"/>
      </w:tblPr>
      <w:tblGrid>
        <w:gridCol w:w="2400"/>
        <w:gridCol w:w="7346"/>
      </w:tblGrid>
      <w:tr>
        <w:trPr>
          <w:cantSplit/>
          <w:tblHeader w:val="true"/>
        </w:trPr>
        <w:tc>
          <w:tcPr>
            <w:tcW w:type="dxa" w:w="2400"/>
            <w:shd w:fill="FFFFFF" w:val="clear"/>
            <w:tcMar>
              <w:top w:type="dxa" w:w="100"/>
              <w:left w:type="dxa" w:w="200"/>
              <w:bottom w:type="dxa" w:w="100"/>
              <w:right w:type="dxa" w:w="120"/>
            </w:tcMar>
          </w:tcPr>
          <w:p>
            <w:r>
              <w:rPr>
                <w:b/>
                <w:bCs/>
                <w:color w:val="2E5395"/>
                <w:sz w:val="19"/>
                <w:szCs w:val="19"/>
              </w:rPr>
              <w:t>Nguồn (dẫn chứng)</w:t>
            </w:r>
          </w:p>
        </w:tc>
        <w:tc>
          <w:tcPr>
            <w:tcW w:type="dxa" w:w="7346"/>
            <w:shd w:fill="FFFFFF" w:val="clear"/>
            <w:tcMar>
              <w:top w:type="dxa" w:w="100"/>
              <w:left w:type="dxa" w:w="120"/>
              <w:bottom w:type="dxa" w:w="100"/>
              <w:right w:type="dxa" w:w="200"/>
            </w:tcMar>
          </w:tcPr>
          <w:p>
            <w:r>
              <w:rPr>
                <w:sz w:val="20"/>
                <w:szCs w:val="20"/>
              </w:rPr>
              <w:t>Mavrotas, G. (2009). Applied Mathematics and Computation, 213(2), 455–465. DOI: 10.1016/j.amc.2009.03.037 [R17]</w:t>
            </w:r>
          </w:p>
        </w:tc>
      </w:tr>
      <w:tr>
        <w:trPr>
          <w:cantSplit/>
        </w:trPr>
        <w:tc>
          <w:tcPr>
            <w:tcW w:type="dxa" w:w="2400"/>
            <w:shd w:fill="FFFFFF" w:val="clear"/>
            <w:tcMar>
              <w:top w:type="dxa" w:w="100"/>
              <w:left w:type="dxa" w:w="200"/>
              <w:bottom w:type="dxa" w:w="100"/>
              <w:right w:type="dxa" w:w="120"/>
            </w:tcMar>
          </w:tcPr>
          <w:p>
            <w:r>
              <w:rPr>
                <w:b/>
                <w:bCs/>
                <w:color w:val="2E5395"/>
                <w:sz w:val="19"/>
                <w:szCs w:val="19"/>
              </w:rPr>
              <w:t>Mục đích</w:t>
            </w:r>
          </w:p>
        </w:tc>
        <w:tc>
          <w:tcPr>
            <w:tcW w:type="dxa" w:w="7346"/>
            <w:shd w:fill="FFFFFF" w:val="clear"/>
            <w:tcMar>
              <w:top w:type="dxa" w:w="100"/>
              <w:left w:type="dxa" w:w="120"/>
              <w:bottom w:type="dxa" w:w="100"/>
              <w:right w:type="dxa" w:w="200"/>
            </w:tcMar>
          </w:tcPr>
          <w:p>
            <w:r>
              <w:rPr>
                <w:sz w:val="20"/>
                <w:szCs w:val="20"/>
              </w:rPr>
              <w:t>Cung cấp cơ sở lý thuyết chính thức, được trích dẫn rộng rãi trong tối ưu hoá đa mục tiêu, cho việc chuyển đổi bài toán "nhiều mục tiêu cạnh tranh nhau" (chi phí thấp / độ tươi cao / tuân thủ hợp đồng) thành "ràng buộc + một mục tiêu".</w:t>
            </w:r>
          </w:p>
        </w:tc>
      </w:tr>
      <w:tr>
        <w:trPr>
          <w:cantSplit/>
        </w:trPr>
        <w:tc>
          <w:tcPr>
            <w:tcW w:type="dxa" w:w="2400"/>
            <w:shd w:fill="FFFFFF" w:val="clear"/>
            <w:tcMar>
              <w:top w:type="dxa" w:w="100"/>
              <w:left w:type="dxa" w:w="200"/>
              <w:bottom w:type="dxa" w:w="100"/>
              <w:right w:type="dxa" w:w="120"/>
            </w:tcMar>
          </w:tcPr>
          <w:p>
            <w:r>
              <w:rPr>
                <w:b/>
                <w:bCs/>
                <w:color w:val="2E5395"/>
                <w:sz w:val="19"/>
                <w:szCs w:val="19"/>
              </w:rPr>
              <w:t>Vấn đề giải quyết</w:t>
            </w:r>
          </w:p>
        </w:tc>
        <w:tc>
          <w:tcPr>
            <w:tcW w:type="dxa" w:w="7346"/>
            <w:shd w:fill="FFFFFF" w:val="clear"/>
            <w:tcMar>
              <w:top w:type="dxa" w:w="100"/>
              <w:left w:type="dxa" w:w="120"/>
              <w:bottom w:type="dxa" w:w="100"/>
              <w:right w:type="dxa" w:w="200"/>
            </w:tcMar>
          </w:tcPr>
          <w:p>
            <w:r>
              <w:rPr>
                <w:sz w:val="20"/>
                <w:szCs w:val="20"/>
              </w:rPr>
              <w:t>Trả lời trực tiếp: tại sao không dùng một công thức điểm số trọng số kiểu Điểm = w₁×Freshness + w₂×Cost + w₃×Distance để xếp hạng lựa chọn.</w:t>
            </w:r>
          </w:p>
        </w:tc>
      </w:tr>
      <w:tr>
        <w:trPr>
          <w:cantSplit/>
        </w:trPr>
        <w:tc>
          <w:tcPr>
            <w:tcW w:type="dxa" w:w="2400"/>
            <w:shd w:fill="FFFFFF" w:val="clear"/>
            <w:tcMar>
              <w:top w:type="dxa" w:w="100"/>
              <w:left w:type="dxa" w:w="200"/>
              <w:bottom w:type="dxa" w:w="100"/>
              <w:right w:type="dxa" w:w="120"/>
            </w:tcMar>
          </w:tcPr>
          <w:p>
            <w:r>
              <w:rPr>
                <w:b/>
                <w:bCs/>
                <w:color w:val="2E5395"/>
                <w:sz w:val="19"/>
                <w:szCs w:val="19"/>
              </w:rPr>
              <w:t>Tại sao chọn công thức này</w:t>
            </w:r>
          </w:p>
        </w:tc>
        <w:tc>
          <w:tcPr>
            <w:tcW w:type="dxa" w:w="7346"/>
            <w:shd w:fill="FFFFFF" w:val="clear"/>
            <w:tcMar>
              <w:top w:type="dxa" w:w="100"/>
              <w:left w:type="dxa" w:w="120"/>
              <w:bottom w:type="dxa" w:w="100"/>
              <w:right w:type="dxa" w:w="200"/>
            </w:tcMar>
            <w:vAlign w:val="center"/>
          </w:tcPr>
          <w:p>
            <w:pPr>
              <w:spacing w:before="0" w:after="0"/>
            </w:pPr>
            <w:r>
              <w:rPr>
                <w:b w:val="0"/>
                <w:sz w:val="18"/>
              </w:rPr>
              <w:t>Lý do chọn: (1) weighted-sum đòi hỏi trọng số thể hiện trade-off và phải được elicitation/justification; tự đặt 0,4/0,3/0,3 thì khó tái lập; (2) ε-constraint có nền tảng chính thức; (3) nếu MLOR/Min-RSL là mức tối thiểu không được vi phạm, hard constraints diễn đạt requirement trực tiếp hơn. Đây là lựa chọn phù hợp, KHÔNG phải cách duy nhất của multi-objective optimization.</w:t>
            </w:r>
          </w:p>
        </w:tc>
      </w:tr>
    </w:tbl>
    <w:p>
      <w:pPr>
        <w:spacing w:after="120"/>
      </w:pPr>
    </w:p>
    <w:p>
      <w:pPr>
        <w:pStyle w:val="Heading2"/>
        <w:spacing w:after="120" w:before="260"/>
      </w:pPr>
      <w:r>
        <w:rPr>
          <w:b/>
          <w:bCs/>
          <w:color w:val="2E5395"/>
          <w:sz w:val="25"/>
          <w:szCs w:val="25"/>
        </w:rPr>
        <w:t>3.7. Sàng lọc kho ứng viên theo địa lý</w:t>
      </w:r>
    </w:p>
    <w:tbl>
      <w:tblPr>
        <w:tblW w:type="dxa" w:w="9746"/>
        <w:tblBorders>
          <w:top w:val="single" w:color="1F3864" w:sz="4"/>
          <w:left w:val="single" w:color="1F3864" w:sz="4"/>
          <w:bottom w:val="none"/>
          <w:right w:val="single" w:color="1F3864" w:sz="4"/>
          <w:insideH w:val="none"/>
          <w:insideV w:val="none"/>
        </w:tblBorders>
        <w:tblLayout w:type="fixed"/>
      </w:tblPr>
      <w:tblGrid>
        <w:gridCol w:w="9746"/>
      </w:tblGrid>
      <w:tr>
        <w:trPr>
          <w:cantSplit/>
        </w:trPr>
        <w:tc>
          <w:tcPr>
            <w:tcW w:type="dxa" w:w="9746"/>
            <w:shd w:fill="EAF0FA" w:val="clear"/>
            <w:tcMar>
              <w:top w:type="dxa" w:w="140"/>
              <w:left w:type="dxa" w:w="200"/>
              <w:bottom w:type="dxa" w:w="140"/>
              <w:right w:type="dxa" w:w="200"/>
            </w:tcMar>
          </w:tcPr>
          <w:p>
            <w:r>
              <w:rPr>
                <w:b/>
                <w:bCs/>
                <w:color w:val="1F3864"/>
                <w:sz w:val="20"/>
                <w:szCs w:val="20"/>
              </w:rPr>
              <w:t>Mô hình 10 — Công thức Haversine (khoảng cách vòng cung lớn)</w:t>
            </w:r>
          </w:p>
          <w:p>
            <w:pPr>
              <w:spacing w:before="80"/>
            </w:pPr>
            <w:r>
              <w:rPr>
                <w:b/>
                <w:bCs/>
                <w:sz w:val="24"/>
                <w:szCs w:val="24"/>
              </w:rPr>
              <w:t>d = 2R · asin( √[ sin²((φ₂−φ₁)/2) + cosφ₁·cosφ₂·sin²((λ₂−λ₁)/2) ] )</w:t>
            </w:r>
          </w:p>
        </w:tc>
      </w:tr>
    </w:tbl>
    <w:p>
      <w:pPr>
        <w:spacing w:after="0" w:before="0"/>
      </w:pPr>
    </w:p>
    <w:tbl>
      <w:tblPr>
        <w:tblW w:type="dxa" w:w="9746"/>
        <w:tblBorders>
          <w:top w:val="none"/>
          <w:left w:val="single" w:color="1F3864" w:sz="4"/>
          <w:bottom w:val="single" w:color="1F3864" w:sz="4"/>
          <w:right w:val="single" w:color="1F3864" w:sz="4"/>
          <w:insideH w:val="single" w:color="C9D6EA" w:sz="2"/>
          <w:insideV w:val="single" w:color="C9D6EA" w:sz="2"/>
        </w:tblBorders>
        <w:tblLayout w:type="fixed"/>
      </w:tblPr>
      <w:tblGrid>
        <w:gridCol w:w="2400"/>
        <w:gridCol w:w="7346"/>
      </w:tblGrid>
      <w:tr>
        <w:trPr>
          <w:cantSplit/>
          <w:tblHeader w:val="true"/>
        </w:trPr>
        <w:tc>
          <w:tcPr>
            <w:tcW w:type="dxa" w:w="2400"/>
            <w:shd w:fill="FFFFFF" w:val="clear"/>
            <w:tcMar>
              <w:top w:type="dxa" w:w="100"/>
              <w:left w:type="dxa" w:w="200"/>
              <w:bottom w:type="dxa" w:w="100"/>
              <w:right w:type="dxa" w:w="120"/>
            </w:tcMar>
          </w:tcPr>
          <w:p>
            <w:r>
              <w:rPr>
                <w:b/>
                <w:bCs/>
                <w:color w:val="2E5395"/>
                <w:sz w:val="19"/>
                <w:szCs w:val="19"/>
              </w:rPr>
              <w:t>Nguồn (dẫn chứng)</w:t>
            </w:r>
          </w:p>
        </w:tc>
        <w:tc>
          <w:tcPr>
            <w:tcW w:type="dxa" w:w="7346"/>
            <w:shd w:fill="FFFFFF" w:val="clear"/>
            <w:tcMar>
              <w:top w:type="dxa" w:w="100"/>
              <w:left w:type="dxa" w:w="120"/>
              <w:bottom w:type="dxa" w:w="100"/>
              <w:right w:type="dxa" w:w="200"/>
            </w:tcMar>
          </w:tcPr>
          <w:p>
            <w:r>
              <w:rPr>
                <w:sz w:val="20"/>
                <w:szCs w:val="20"/>
              </w:rPr>
              <w:t>Baskar, A. &amp; Xavior, M. A. (2022). Journal of the Operational Research Society, 73(11), 2385–2394. DOI: 10.1080/01605682.2021.1984185 [R10]; công thức Haversine còn được tái sử dụng rộng rãi trong các nghiên cứu logistics/geospatial khác đã bình duyệt.</w:t>
            </w:r>
          </w:p>
        </w:tc>
      </w:tr>
      <w:tr>
        <w:trPr>
          <w:cantSplit/>
        </w:trPr>
        <w:tc>
          <w:tcPr>
            <w:tcW w:type="dxa" w:w="2400"/>
            <w:shd w:fill="FFFFFF" w:val="clear"/>
            <w:tcMar>
              <w:top w:type="dxa" w:w="100"/>
              <w:left w:type="dxa" w:w="200"/>
              <w:bottom w:type="dxa" w:w="100"/>
              <w:right w:type="dxa" w:w="120"/>
            </w:tcMar>
          </w:tcPr>
          <w:p>
            <w:r>
              <w:rPr>
                <w:b/>
                <w:bCs/>
                <w:color w:val="2E5395"/>
                <w:sz w:val="19"/>
                <w:szCs w:val="19"/>
              </w:rPr>
              <w:t>Mục đích</w:t>
            </w:r>
          </w:p>
        </w:tc>
        <w:tc>
          <w:tcPr>
            <w:tcW w:type="dxa" w:w="7346"/>
            <w:shd w:fill="FFFFFF" w:val="clear"/>
            <w:tcMar>
              <w:top w:type="dxa" w:w="100"/>
              <w:left w:type="dxa" w:w="120"/>
              <w:bottom w:type="dxa" w:w="100"/>
              <w:right w:type="dxa" w:w="200"/>
            </w:tcMar>
          </w:tcPr>
          <w:p>
            <w:r>
              <w:rPr>
                <w:sz w:val="20"/>
                <w:szCs w:val="20"/>
              </w:rPr>
              <w:t>Tính nhanh khoảng cách chim bay giữa đơn hàng và từng kho trong mạng lưới, để lọc ra một tập nhỏ kho ứng viên (top-k) đáng để tính toán chi tiết hơn.</w:t>
            </w:r>
          </w:p>
        </w:tc>
      </w:tr>
      <w:tr>
        <w:trPr>
          <w:cantSplit/>
        </w:trPr>
        <w:tc>
          <w:tcPr>
            <w:tcW w:type="dxa" w:w="2400"/>
            <w:shd w:fill="FFFFFF" w:val="clear"/>
            <w:tcMar>
              <w:top w:type="dxa" w:w="100"/>
              <w:left w:type="dxa" w:w="200"/>
              <w:bottom w:type="dxa" w:w="100"/>
              <w:right w:type="dxa" w:w="120"/>
            </w:tcMar>
          </w:tcPr>
          <w:p>
            <w:r>
              <w:rPr>
                <w:b/>
                <w:bCs/>
                <w:color w:val="2E5395"/>
                <w:sz w:val="19"/>
                <w:szCs w:val="19"/>
              </w:rPr>
              <w:t>Vấn đề giải quyết</w:t>
            </w:r>
          </w:p>
        </w:tc>
        <w:tc>
          <w:tcPr>
            <w:tcW w:type="dxa" w:w="7346"/>
            <w:shd w:fill="FFFFFF" w:val="clear"/>
            <w:tcMar>
              <w:top w:type="dxa" w:w="100"/>
              <w:left w:type="dxa" w:w="120"/>
              <w:bottom w:type="dxa" w:w="100"/>
              <w:right w:type="dxa" w:w="200"/>
            </w:tcMar>
            <w:vAlign w:val="center"/>
          </w:tcPr>
          <w:p>
            <w:pPr>
              <w:spacing w:before="0" w:after="0"/>
            </w:pPr>
            <w:r>
              <w:rPr>
                <w:b w:val="0"/>
                <w:sz w:val="18"/>
              </w:rPr>
              <w:t>Với nhiều kho, chạy road-network shortest path cho toàn bộ kho ở mọi request có thể tốn tài nguyên không cần thiết. Haversine dùng như heuristic pre-screen; runtime benefit và rủi ro bỏ sót kho tối ưu phải benchmark với k=3,5,10,all.</w:t>
            </w:r>
          </w:p>
        </w:tc>
      </w:tr>
      <w:tr>
        <w:trPr>
          <w:cantSplit/>
        </w:trPr>
        <w:tc>
          <w:tcPr>
            <w:tcW w:type="dxa" w:w="2400"/>
            <w:shd w:fill="FFFFFF" w:val="clear"/>
            <w:tcMar>
              <w:top w:type="dxa" w:w="100"/>
              <w:left w:type="dxa" w:w="200"/>
              <w:bottom w:type="dxa" w:w="100"/>
              <w:right w:type="dxa" w:w="120"/>
            </w:tcMar>
          </w:tcPr>
          <w:p>
            <w:r>
              <w:rPr>
                <w:b/>
                <w:bCs/>
                <w:color w:val="2E5395"/>
                <w:sz w:val="19"/>
                <w:szCs w:val="19"/>
              </w:rPr>
              <w:t>Tại sao chọn công thức này</w:t>
            </w:r>
          </w:p>
        </w:tc>
        <w:tc>
          <w:tcPr>
            <w:tcW w:type="dxa" w:w="7346"/>
            <w:shd w:fill="FFFFFF" w:val="clear"/>
            <w:tcMar>
              <w:top w:type="dxa" w:w="100"/>
              <w:left w:type="dxa" w:w="120"/>
              <w:bottom w:type="dxa" w:w="100"/>
              <w:right w:type="dxa" w:w="200"/>
            </w:tcMar>
          </w:tcPr>
          <w:p>
            <w:r>
              <w:rPr>
                <w:sz w:val="20"/>
                <w:szCs w:val="20"/>
              </w:rPr>
              <w:t>Bài báo nhấn mạnh khoảng cách Euclid (đường thẳng phẳng) không chính xác khi hai điểm địa lý cách xa nhau trên bề mặt cầu — Haversine (dựa trên hình học mặt cầu) chính xác hơn Euclid cho khoảng cách địa lý thực, trong khi vẫn tính toán rất nhanh (không cần đồ thị đường bộ đầy đủ như Dijkstra ở bước sau).</w:t>
            </w:r>
          </w:p>
        </w:tc>
      </w:tr>
      <w:tr>
        <w:trPr>
          <w:cantSplit/>
        </w:trPr>
        <w:tc>
          <w:tcPr>
            <w:tcW w:type="dxa" w:w="2400"/>
            <w:shd w:fill="FFFFFF" w:val="clear"/>
            <w:tcMar>
              <w:top w:type="dxa" w:w="100"/>
              <w:left w:type="dxa" w:w="200"/>
              <w:bottom w:type="dxa" w:w="100"/>
              <w:right w:type="dxa" w:w="120"/>
            </w:tcMar>
          </w:tcPr>
          <w:p>
            <w:r>
              <w:rPr>
                <w:b/>
                <w:bCs/>
                <w:color w:val="2E5395"/>
                <w:sz w:val="19"/>
                <w:szCs w:val="19"/>
              </w:rPr>
              <w:t>Giới hạn / không được claim</w:t>
            </w:r>
          </w:p>
        </w:tc>
        <w:tc>
          <w:tcPr>
            <w:tcW w:type="dxa" w:w="7346"/>
            <w:shd w:fill="FFFFFF" w:val="clear"/>
            <w:tcMar>
              <w:top w:type="dxa" w:w="100"/>
              <w:left w:type="dxa" w:w="120"/>
              <w:bottom w:type="dxa" w:w="100"/>
              <w:right w:type="dxa" w:w="200"/>
            </w:tcMar>
          </w:tcPr>
          <w:p>
            <w:r>
              <w:rPr>
                <w:sz w:val="20"/>
                <w:szCs w:val="20"/>
              </w:rPr>
              <w:t>Đây CHỈ là bước sàng lọc sơ bộ (pre-screen) — không dùng làm khoảng cách vận chuyển thực tế, vì không phản ánh được đường một chiều, cầu, đường vòng. Số kho lọt vào top-k (k=3, 5, 10 hay tất cả) là tham số cần benchmark bằng thực nghiệm, không tự chọn theo cảm tính.</w:t>
            </w:r>
          </w:p>
        </w:tc>
      </w:tr>
    </w:tbl>
    <w:p>
      <w:pPr>
        <w:spacing w:after="120"/>
      </w:pPr>
    </w:p>
    <w:p>
      <w:pPr>
        <w:pStyle w:val="Heading2"/>
        <w:spacing w:after="120" w:before="260"/>
      </w:pPr>
      <w:r>
        <w:rPr>
          <w:b/>
          <w:bCs/>
          <w:color w:val="2E5395"/>
          <w:sz w:val="25"/>
          <w:szCs w:val="25"/>
        </w:rPr>
        <w:t>3.8. Tính chi phí/thời gian di chuyển thực tế</w:t>
      </w:r>
    </w:p>
    <w:tbl>
      <w:tblPr>
        <w:tblW w:type="dxa" w:w="9746"/>
        <w:tblBorders>
          <w:top w:val="single" w:color="1F3864" w:sz="4"/>
          <w:left w:val="single" w:color="1F3864" w:sz="4"/>
          <w:bottom w:val="none"/>
          <w:right w:val="single" w:color="1F3864" w:sz="4"/>
          <w:insideH w:val="none"/>
          <w:insideV w:val="none"/>
        </w:tblBorders>
        <w:tblLayout w:type="fixed"/>
      </w:tblPr>
      <w:tblGrid>
        <w:gridCol w:w="9746"/>
      </w:tblGrid>
      <w:tr>
        <w:trPr>
          <w:cantSplit/>
        </w:trPr>
        <w:tc>
          <w:tcPr>
            <w:tcW w:type="dxa" w:w="9746"/>
            <w:shd w:fill="EAF0FA" w:val="clear"/>
            <w:tcMar>
              <w:top w:type="dxa" w:w="140"/>
              <w:left w:type="dxa" w:w="200"/>
              <w:bottom w:type="dxa" w:w="140"/>
              <w:right w:type="dxa" w:w="200"/>
            </w:tcMar>
          </w:tcPr>
          <w:p>
            <w:r>
              <w:rPr>
                <w:b/>
                <w:bCs/>
                <w:color w:val="1F3864"/>
                <w:sz w:val="20"/>
                <w:szCs w:val="20"/>
              </w:rPr>
              <w:t>Mô hình 11 — Thuật toán đường đi ngắn nhất Dijkstra</w:t>
            </w:r>
          </w:p>
          <w:p>
            <w:pPr>
              <w:spacing w:before="80"/>
            </w:pPr>
            <w:r>
              <w:rPr>
                <w:b/>
                <w:bCs/>
                <w:sz w:val="24"/>
                <w:szCs w:val="24"/>
              </w:rPr>
              <w:t>Tìm đường đi có tổng chi phí nhỏ nhất giữa hai đỉnh trên đồ thị có trọng số không âm</w:t>
            </w:r>
          </w:p>
        </w:tc>
      </w:tr>
    </w:tbl>
    <w:p>
      <w:pPr>
        <w:spacing w:after="0" w:before="0"/>
      </w:pPr>
    </w:p>
    <w:tbl>
      <w:tblPr>
        <w:tblW w:type="dxa" w:w="9746"/>
        <w:tblBorders>
          <w:top w:val="none"/>
          <w:left w:val="single" w:color="1F3864" w:sz="4"/>
          <w:bottom w:val="single" w:color="1F3864" w:sz="4"/>
          <w:right w:val="single" w:color="1F3864" w:sz="4"/>
          <w:insideH w:val="single" w:color="C9D6EA" w:sz="2"/>
          <w:insideV w:val="single" w:color="C9D6EA" w:sz="2"/>
        </w:tblBorders>
        <w:tblLayout w:type="fixed"/>
      </w:tblPr>
      <w:tblGrid>
        <w:gridCol w:w="2400"/>
        <w:gridCol w:w="7346"/>
      </w:tblGrid>
      <w:tr>
        <w:trPr>
          <w:cantSplit/>
          <w:tblHeader w:val="true"/>
        </w:trPr>
        <w:tc>
          <w:tcPr>
            <w:tcW w:type="dxa" w:w="2400"/>
            <w:shd w:fill="FFFFFF" w:val="clear"/>
            <w:tcMar>
              <w:top w:type="dxa" w:w="100"/>
              <w:left w:type="dxa" w:w="200"/>
              <w:bottom w:type="dxa" w:w="100"/>
              <w:right w:type="dxa" w:w="120"/>
            </w:tcMar>
          </w:tcPr>
          <w:p>
            <w:r>
              <w:rPr>
                <w:b/>
                <w:bCs/>
                <w:color w:val="2E5395"/>
                <w:sz w:val="19"/>
                <w:szCs w:val="19"/>
              </w:rPr>
              <w:t>Nguồn (dẫn chứng)</w:t>
            </w:r>
          </w:p>
        </w:tc>
        <w:tc>
          <w:tcPr>
            <w:tcW w:type="dxa" w:w="7346"/>
            <w:shd w:fill="FFFFFF" w:val="clear"/>
            <w:tcMar>
              <w:top w:type="dxa" w:w="100"/>
              <w:left w:type="dxa" w:w="120"/>
              <w:bottom w:type="dxa" w:w="100"/>
              <w:right w:type="dxa" w:w="200"/>
            </w:tcMar>
          </w:tcPr>
          <w:p>
            <w:r>
              <w:rPr>
                <w:sz w:val="20"/>
                <w:szCs w:val="20"/>
              </w:rPr>
              <w:t>Dijkstra, E. W. (1959). Numerische Mathematik, 1, 269–271, "Problem 2". DOI: 10.1007/BF01386390 [R11]</w:t>
            </w:r>
          </w:p>
        </w:tc>
      </w:tr>
      <w:tr>
        <w:trPr>
          <w:cantSplit/>
        </w:trPr>
        <w:tc>
          <w:tcPr>
            <w:tcW w:type="dxa" w:w="2400"/>
            <w:shd w:fill="FFFFFF" w:val="clear"/>
            <w:tcMar>
              <w:top w:type="dxa" w:w="100"/>
              <w:left w:type="dxa" w:w="200"/>
              <w:bottom w:type="dxa" w:w="100"/>
              <w:right w:type="dxa" w:w="120"/>
            </w:tcMar>
          </w:tcPr>
          <w:p>
            <w:r>
              <w:rPr>
                <w:b/>
                <w:bCs/>
                <w:color w:val="2E5395"/>
                <w:sz w:val="19"/>
                <w:szCs w:val="19"/>
              </w:rPr>
              <w:t>Mục đích</w:t>
            </w:r>
          </w:p>
        </w:tc>
        <w:tc>
          <w:tcPr>
            <w:tcW w:type="dxa" w:w="7346"/>
            <w:shd w:fill="FFFFFF" w:val="clear"/>
            <w:tcMar>
              <w:top w:type="dxa" w:w="100"/>
              <w:left w:type="dxa" w:w="120"/>
              <w:bottom w:type="dxa" w:w="100"/>
              <w:right w:type="dxa" w:w="200"/>
            </w:tcMar>
          </w:tcPr>
          <w:p>
            <w:r>
              <w:rPr>
                <w:sz w:val="20"/>
                <w:szCs w:val="20"/>
              </w:rPr>
              <w:t>Tính thời gian/chi phí di chuyển thực tế trên mạng lưới đường bộ giữa các kho đã lọt qua bước sàng lọc Haversine, và giữa kho với điểm giao hàng.</w:t>
            </w:r>
          </w:p>
        </w:tc>
      </w:tr>
      <w:tr>
        <w:trPr>
          <w:cantSplit/>
        </w:trPr>
        <w:tc>
          <w:tcPr>
            <w:tcW w:type="dxa" w:w="2400"/>
            <w:shd w:fill="FFFFFF" w:val="clear"/>
            <w:tcMar>
              <w:top w:type="dxa" w:w="100"/>
              <w:left w:type="dxa" w:w="200"/>
              <w:bottom w:type="dxa" w:w="100"/>
              <w:right w:type="dxa" w:w="120"/>
            </w:tcMar>
          </w:tcPr>
          <w:p>
            <w:r>
              <w:rPr>
                <w:b/>
                <w:bCs/>
                <w:color w:val="2E5395"/>
                <w:sz w:val="19"/>
                <w:szCs w:val="19"/>
              </w:rPr>
              <w:t>Vấn đề giải quyết</w:t>
            </w:r>
          </w:p>
        </w:tc>
        <w:tc>
          <w:tcPr>
            <w:tcW w:type="dxa" w:w="7346"/>
            <w:shd w:fill="FFFFFF" w:val="clear"/>
            <w:tcMar>
              <w:top w:type="dxa" w:w="100"/>
              <w:left w:type="dxa" w:w="120"/>
              <w:bottom w:type="dxa" w:w="100"/>
              <w:right w:type="dxa" w:w="200"/>
            </w:tcMar>
          </w:tcPr>
          <w:p>
            <w:r>
              <w:rPr>
                <w:sz w:val="20"/>
                <w:szCs w:val="20"/>
              </w:rPr>
              <w:t>Bổ sung phần còn thiếu của Mô hình 10: khoảng cách chim bay không phản ánh đường đi thật (một chiều, cầu, tắc đường) — Dijkstra cho kết quả sát thực tế hơn để dùng trong các bước phân bổ/định tuyến tiếp theo.</w:t>
            </w:r>
          </w:p>
        </w:tc>
      </w:tr>
      <w:tr>
        <w:trPr>
          <w:cantSplit/>
        </w:trPr>
        <w:tc>
          <w:tcPr>
            <w:tcW w:type="dxa" w:w="2400"/>
            <w:shd w:fill="FFFFFF" w:val="clear"/>
            <w:tcMar>
              <w:top w:type="dxa" w:w="100"/>
              <w:left w:type="dxa" w:w="200"/>
              <w:bottom w:type="dxa" w:w="100"/>
              <w:right w:type="dxa" w:w="120"/>
            </w:tcMar>
          </w:tcPr>
          <w:p>
            <w:r>
              <w:rPr>
                <w:b/>
                <w:bCs/>
                <w:color w:val="2E5395"/>
                <w:sz w:val="19"/>
                <w:szCs w:val="19"/>
              </w:rPr>
              <w:t>Tại sao chọn công thức này</w:t>
            </w:r>
          </w:p>
        </w:tc>
        <w:tc>
          <w:tcPr>
            <w:tcW w:type="dxa" w:w="7346"/>
            <w:shd w:fill="FFFFFF" w:val="clear"/>
            <w:tcMar>
              <w:top w:type="dxa" w:w="100"/>
              <w:left w:type="dxa" w:w="120"/>
              <w:bottom w:type="dxa" w:w="100"/>
              <w:right w:type="dxa" w:w="200"/>
            </w:tcMar>
            <w:vAlign w:val="center"/>
          </w:tcPr>
          <w:p>
            <w:pPr>
              <w:spacing w:before="0" w:after="0"/>
            </w:pPr>
            <w:r>
              <w:rPr>
                <w:b w:val="0"/>
                <w:sz w:val="18"/>
              </w:rPr>
              <w:t>Dijkstra tối ưu đường đi ngắn nhất trên đồ thị có trọng số không âm. Scope dùng expected/static road cost/time nên không cần time-dependent shortest-path; đây là lựa chọn theo phạm vi planning.</w:t>
            </w:r>
          </w:p>
        </w:tc>
      </w:tr>
      <w:tr>
        <w:trPr>
          <w:cantSplit/>
        </w:trPr>
        <w:tc>
          <w:tcPr>
            <w:tcW w:type="dxa" w:w="2400"/>
            <w:shd w:fill="FFFFFF" w:val="clear"/>
            <w:tcMar>
              <w:top w:type="dxa" w:w="100"/>
              <w:left w:type="dxa" w:w="200"/>
              <w:bottom w:type="dxa" w:w="100"/>
              <w:right w:type="dxa" w:w="120"/>
            </w:tcMar>
          </w:tcPr>
          <w:p>
            <w:r>
              <w:rPr>
                <w:b/>
                <w:bCs/>
                <w:color w:val="2E5395"/>
                <w:sz w:val="19"/>
                <w:szCs w:val="19"/>
              </w:rPr>
              <w:t>Giới hạn / không được claim</w:t>
            </w:r>
          </w:p>
        </w:tc>
        <w:tc>
          <w:tcPr>
            <w:tcW w:type="dxa" w:w="7346"/>
            <w:shd w:fill="FFFFFF" w:val="clear"/>
            <w:tcMar>
              <w:top w:type="dxa" w:w="100"/>
              <w:left w:type="dxa" w:w="120"/>
              <w:bottom w:type="dxa" w:w="100"/>
              <w:right w:type="dxa" w:w="200"/>
            </w:tcMar>
          </w:tcPr>
          <w:p>
            <w:r>
              <w:rPr>
                <w:sz w:val="20"/>
                <w:szCs w:val="20"/>
              </w:rPr>
              <w:t>Không claim tối ưu thời gian thực (giao thông thay đổi theo giờ); chỉ dùng cho lập kế hoạch (planning), không dùng để điều hướng xe theo thời gian thực.</w:t>
            </w:r>
          </w:p>
        </w:tc>
      </w:tr>
    </w:tbl>
    <w:p>
      <w:pPr>
        <w:spacing w:after="120"/>
      </w:pPr>
    </w:p>
    <w:p>
      <w:pPr>
        <w:pStyle w:val="Heading2"/>
        <w:spacing w:after="120" w:before="260"/>
      </w:pPr>
      <w:r>
        <w:rPr>
          <w:b/>
          <w:bCs/>
          <w:color w:val="2E5395"/>
          <w:sz w:val="25"/>
          <w:szCs w:val="25"/>
        </w:rPr>
        <w:t>3.9. Phân bổ giao hàng khi một kho không đủ tồn</w:t>
      </w:r>
    </w:p>
    <w:p>
      <w:pPr>
        <w:spacing w:after="140" w:line="300"/>
      </w:pPr>
      <w:r>
        <w:rPr>
          <w:sz w:val="22"/>
          <w:szCs w:val="22"/>
        </w:rPr>
        <w:t>Trả lời phần còn lại của Câu hỏi 1 và Câu hỏi 4: khi kho gần nhất không đủ hàng, hệ thống cần quyết định có chia đơn hàng từ nhiều kho hay không.</w:t>
      </w:r>
    </w:p>
    <w:tbl>
      <w:tblPr>
        <w:tblW w:type="dxa" w:w="9746"/>
        <w:tblBorders>
          <w:top w:val="single" w:color="1F3864" w:sz="4"/>
          <w:left w:val="single" w:color="1F3864" w:sz="4"/>
          <w:bottom w:val="none"/>
          <w:right w:val="single" w:color="1F3864" w:sz="4"/>
          <w:insideH w:val="none"/>
          <w:insideV w:val="none"/>
        </w:tblBorders>
        <w:tblLayout w:type="fixed"/>
      </w:tblPr>
      <w:tblGrid>
        <w:gridCol w:w="9746"/>
      </w:tblGrid>
      <w:tr>
        <w:trPr>
          <w:cantSplit/>
        </w:trPr>
        <w:tc>
          <w:tcPr>
            <w:tcW w:type="dxa" w:w="9746"/>
            <w:shd w:fill="EAF0FA" w:val="clear"/>
            <w:tcMar>
              <w:top w:type="dxa" w:w="140"/>
              <w:left w:type="dxa" w:w="200"/>
              <w:bottom w:type="dxa" w:w="140"/>
              <w:right w:type="dxa" w:w="200"/>
            </w:tcMar>
          </w:tcPr>
          <w:p>
            <w:r>
              <w:rPr>
                <w:b/>
                <w:bCs/>
                <w:color w:val="1F3864"/>
                <w:sz w:val="20"/>
                <w:szCs w:val="20"/>
              </w:rPr>
              <w:t>Mô hình 12 — Bài toán định tuyến giao hàng chia nhỏ đa kho (MDSDVRP)</w:t>
            </w:r>
          </w:p>
          <w:p>
            <w:pPr>
              <w:spacing w:before="80"/>
            </w:pPr>
            <w:r>
              <w:rPr>
                <w:b/>
                <w:bCs/>
                <w:sz w:val="24"/>
                <w:szCs w:val="24"/>
              </w:rPr>
              <w:t>Mô hình ILP (integer linear programming) cho phép một đơn hàng được phục vụ bởi nhiều xe từ nhiều kho (depot) khác nhau, tối thiểu hoá tổng chi phí vận chuyển trong giới hạn năng lực xe/kho</w:t>
            </w:r>
          </w:p>
        </w:tc>
      </w:tr>
    </w:tbl>
    <w:p>
      <w:pPr>
        <w:spacing w:after="0" w:before="0"/>
      </w:pPr>
    </w:p>
    <w:tbl>
      <w:tblPr>
        <w:tblW w:type="dxa" w:w="9746"/>
        <w:tblBorders>
          <w:top w:val="none"/>
          <w:left w:val="single" w:color="1F3864" w:sz="4"/>
          <w:bottom w:val="single" w:color="1F3864" w:sz="4"/>
          <w:right w:val="single" w:color="1F3864" w:sz="4"/>
          <w:insideH w:val="single" w:color="C9D6EA" w:sz="2"/>
          <w:insideV w:val="single" w:color="C9D6EA" w:sz="2"/>
        </w:tblBorders>
        <w:tblLayout w:type="fixed"/>
      </w:tblPr>
      <w:tblGrid>
        <w:gridCol w:w="2400"/>
        <w:gridCol w:w="7346"/>
      </w:tblGrid>
      <w:tr>
        <w:trPr>
          <w:cantSplit/>
          <w:tblHeader w:val="true"/>
        </w:trPr>
        <w:tc>
          <w:tcPr>
            <w:tcW w:type="dxa" w:w="2400"/>
            <w:shd w:fill="FFFFFF" w:val="clear"/>
            <w:tcMar>
              <w:top w:type="dxa" w:w="100"/>
              <w:left w:type="dxa" w:w="200"/>
              <w:bottom w:type="dxa" w:w="100"/>
              <w:right w:type="dxa" w:w="120"/>
            </w:tcMar>
          </w:tcPr>
          <w:p>
            <w:r>
              <w:rPr>
                <w:b/>
                <w:bCs/>
                <w:color w:val="2E5395"/>
                <w:sz w:val="19"/>
                <w:szCs w:val="19"/>
              </w:rPr>
              <w:t>Nguồn (dẫn chứng)</w:t>
            </w:r>
          </w:p>
        </w:tc>
        <w:tc>
          <w:tcPr>
            <w:tcW w:type="dxa" w:w="7346"/>
            <w:shd w:fill="FFFFFF" w:val="clear"/>
            <w:tcMar>
              <w:top w:type="dxa" w:w="100"/>
              <w:left w:type="dxa" w:w="120"/>
              <w:bottom w:type="dxa" w:w="100"/>
              <w:right w:type="dxa" w:w="200"/>
            </w:tcMar>
          </w:tcPr>
          <w:p>
            <w:r>
              <w:rPr>
                <w:sz w:val="20"/>
                <w:szCs w:val="20"/>
              </w:rPr>
              <w:t>Ray, S., Soeanu, A., Berger, J. &amp; Debbabi, M. (2014). Knowledge-Based Systems, 71, 238–265. DOI: 10.1016/j.knosys.2014.08.006 [R12]. Bản chứng minh tối ưu (exact) để kiểm định: Gouveia, L., Leitner, M. &amp; Ruthmair, M. (2023). Transportation Science, 57(2), 512–530. DOI: 10.1287/trsc.2022.1179 [R13]</w:t>
            </w:r>
          </w:p>
        </w:tc>
      </w:tr>
      <w:tr>
        <w:trPr>
          <w:cantSplit/>
        </w:trPr>
        <w:tc>
          <w:tcPr>
            <w:tcW w:type="dxa" w:w="2400"/>
            <w:shd w:fill="FFFFFF" w:val="clear"/>
            <w:tcMar>
              <w:top w:type="dxa" w:w="100"/>
              <w:left w:type="dxa" w:w="200"/>
              <w:bottom w:type="dxa" w:w="100"/>
              <w:right w:type="dxa" w:w="120"/>
            </w:tcMar>
          </w:tcPr>
          <w:p>
            <w:r>
              <w:rPr>
                <w:b/>
                <w:bCs/>
                <w:color w:val="2E5395"/>
                <w:sz w:val="19"/>
                <w:szCs w:val="19"/>
              </w:rPr>
              <w:t>Mục đích</w:t>
            </w:r>
          </w:p>
        </w:tc>
        <w:tc>
          <w:tcPr>
            <w:tcW w:type="dxa" w:w="7346"/>
            <w:shd w:fill="FFFFFF" w:val="clear"/>
            <w:tcMar>
              <w:top w:type="dxa" w:w="100"/>
              <w:left w:type="dxa" w:w="120"/>
              <w:bottom w:type="dxa" w:w="100"/>
              <w:right w:type="dxa" w:w="200"/>
            </w:tcMar>
          </w:tcPr>
          <w:p>
            <w:r>
              <w:rPr>
                <w:sz w:val="20"/>
                <w:szCs w:val="20"/>
              </w:rPr>
              <w:t>Quyết định phân bổ số lượng và tuyến vận chuyển khi một đơn hàng vượt quá tồn kho khả thi (đã qua Mô hình 7 và 9) của một kho duy nhất.</w:t>
            </w:r>
          </w:p>
        </w:tc>
      </w:tr>
      <w:tr>
        <w:trPr>
          <w:cantSplit/>
        </w:trPr>
        <w:tc>
          <w:tcPr>
            <w:tcW w:type="dxa" w:w="2400"/>
            <w:shd w:fill="FFFFFF" w:val="clear"/>
            <w:tcMar>
              <w:top w:type="dxa" w:w="100"/>
              <w:left w:type="dxa" w:w="200"/>
              <w:bottom w:type="dxa" w:w="100"/>
              <w:right w:type="dxa" w:w="120"/>
            </w:tcMar>
          </w:tcPr>
          <w:p>
            <w:r>
              <w:rPr>
                <w:b/>
                <w:bCs/>
                <w:color w:val="2E5395"/>
                <w:sz w:val="19"/>
                <w:szCs w:val="19"/>
              </w:rPr>
              <w:t>Vấn đề giải quyết</w:t>
            </w:r>
          </w:p>
        </w:tc>
        <w:tc>
          <w:tcPr>
            <w:tcW w:type="dxa" w:w="7346"/>
            <w:shd w:fill="FFFFFF" w:val="clear"/>
            <w:tcMar>
              <w:top w:type="dxa" w:w="100"/>
              <w:left w:type="dxa" w:w="120"/>
              <w:bottom w:type="dxa" w:w="100"/>
              <w:right w:type="dxa" w:w="200"/>
            </w:tcMar>
          </w:tcPr>
          <w:p>
            <w:r>
              <w:rPr>
                <w:sz w:val="20"/>
                <w:szCs w:val="20"/>
              </w:rPr>
              <w:t>Đây là câu trả lời trực tiếp cho tình huống: đơn hàng cần 120 đơn vị, kho A chỉ có 70 đơn vị đạt điều kiện, kho B có 30, kho C có 20 — hệ thống cần quyết định có chia 70+30+20 hay không, dựa trên ràng buộc năng lực và chi phí, chứ không phải quy tắc if/else đơn giản.</w:t>
            </w:r>
          </w:p>
        </w:tc>
      </w:tr>
      <w:tr>
        <w:trPr>
          <w:cantSplit/>
        </w:trPr>
        <w:tc>
          <w:tcPr>
            <w:tcW w:type="dxa" w:w="2400"/>
            <w:shd w:fill="FFFFFF" w:val="clear"/>
            <w:tcMar>
              <w:top w:type="dxa" w:w="100"/>
              <w:left w:type="dxa" w:w="200"/>
              <w:bottom w:type="dxa" w:w="100"/>
              <w:right w:type="dxa" w:w="120"/>
            </w:tcMar>
          </w:tcPr>
          <w:p>
            <w:r>
              <w:rPr>
                <w:b/>
                <w:bCs/>
                <w:color w:val="2E5395"/>
                <w:sz w:val="19"/>
                <w:szCs w:val="19"/>
              </w:rPr>
              <w:t>Tại sao chọn công thức này</w:t>
            </w:r>
          </w:p>
        </w:tc>
        <w:tc>
          <w:tcPr>
            <w:tcW w:type="dxa" w:w="7346"/>
            <w:shd w:fill="FFFFFF" w:val="clear"/>
            <w:tcMar>
              <w:top w:type="dxa" w:w="100"/>
              <w:left w:type="dxa" w:w="120"/>
              <w:bottom w:type="dxa" w:w="100"/>
              <w:right w:type="dxa" w:w="200"/>
            </w:tcMar>
          </w:tcPr>
          <w:p>
            <w:r>
              <w:rPr>
                <w:sz w:val="20"/>
                <w:szCs w:val="20"/>
              </w:rPr>
              <w:t>MDSDVRP là lớp bài toán được thiết kế đúng cho tình huống "nhiều kho, giao hàng chung, có thể chia nhỏ" — khớp chính xác với cấu trúc vận hành đa kho của bài toán, hơn hẳn so với quy tắc heuristic đơn giản kiểu "luôn chọn kho gần nhất, nếu không đủ thì báo lỗi". Gouveia et al. (2023) cung cấp thuật toán tối ưu chính xác đầu tiên cho lớp bài toán này, dùng làm chuẩn để đo khoảng cách tối ưu (optimality gap) của các heuristic nhanh hơn.</w:t>
            </w:r>
          </w:p>
        </w:tc>
      </w:tr>
      <w:tr>
        <w:trPr>
          <w:cantSplit/>
        </w:trPr>
        <w:tc>
          <w:tcPr>
            <w:tcW w:type="dxa" w:w="2400"/>
            <w:shd w:fill="FFFFFF" w:val="clear"/>
            <w:tcMar>
              <w:top w:type="dxa" w:w="100"/>
              <w:left w:type="dxa" w:w="200"/>
              <w:bottom w:type="dxa" w:w="100"/>
              <w:right w:type="dxa" w:w="120"/>
            </w:tcMar>
          </w:tcPr>
          <w:p>
            <w:r>
              <w:rPr>
                <w:b/>
                <w:bCs/>
                <w:color w:val="2E5395"/>
                <w:sz w:val="19"/>
                <w:szCs w:val="19"/>
              </w:rPr>
              <w:t>Giới hạn / không được claim</w:t>
            </w:r>
          </w:p>
        </w:tc>
        <w:tc>
          <w:tcPr>
            <w:tcW w:type="dxa" w:w="7346"/>
            <w:shd w:fill="FFFFFF" w:val="clear"/>
            <w:tcMar>
              <w:top w:type="dxa" w:w="100"/>
              <w:left w:type="dxa" w:w="120"/>
              <w:bottom w:type="dxa" w:w="100"/>
              <w:right w:type="dxa" w:w="200"/>
            </w:tcMar>
          </w:tcPr>
          <w:p>
            <w:r>
              <w:rPr>
                <w:sz w:val="20"/>
                <w:szCs w:val="20"/>
              </w:rPr>
              <w:t>MDSDVRP tiêu chuẩn không biết về hạn sử dụng/lô hàng — tính "dễ hỏng" đã được xử lý ở giai đoạn trước (Mô hình 7 và 9); thuật toán tối ưu chính xác chỉ khả thi cho instance nhỏ/vừa, dùng làm benchmark chứ không nhất thiết là bộ giải trong sản xuất thực tế với quy mô lớn.</w:t>
            </w:r>
          </w:p>
        </w:tc>
      </w:tr>
    </w:tbl>
    <w:p>
      <w:pPr>
        <w:spacing w:after="80"/>
      </w:pPr>
    </w:p>
    <w:tbl>
      <w:tblPr>
        <w:tblW w:type="dxa" w:w="9746"/>
        <w:tblBorders>
          <w:top w:val="single" w:color="1F3864" w:sz="4"/>
          <w:left w:val="single" w:color="1F3864" w:sz="4"/>
          <w:bottom w:val="none"/>
          <w:right w:val="single" w:color="1F3864" w:sz="4"/>
          <w:insideH w:val="none"/>
          <w:insideV w:val="none"/>
        </w:tblBorders>
        <w:tblLayout w:type="fixed"/>
      </w:tblPr>
      <w:tblGrid>
        <w:gridCol w:w="9746"/>
      </w:tblGrid>
      <w:tr>
        <w:trPr>
          <w:cantSplit/>
        </w:trPr>
        <w:tc>
          <w:tcPr>
            <w:tcW w:type="dxa" w:w="9746"/>
            <w:shd w:fill="EAF0FA" w:val="clear"/>
            <w:tcMar>
              <w:top w:type="dxa" w:w="140"/>
              <w:left w:type="dxa" w:w="200"/>
              <w:bottom w:type="dxa" w:w="140"/>
              <w:right w:type="dxa" w:w="200"/>
            </w:tcMar>
          </w:tcPr>
          <w:p>
            <w:r>
              <w:rPr>
                <w:b/>
                <w:bCs/>
                <w:color w:val="1F3864"/>
                <w:sz w:val="20"/>
                <w:szCs w:val="20"/>
              </w:rPr>
              <w:t>Phương án đơn giản hơn — Bài toán vận tải cổ điển (Transportation Problem)</w:t>
            </w:r>
          </w:p>
          <w:p>
            <w:pPr>
              <w:spacing w:before="80"/>
            </w:pPr>
            <w:r>
              <w:rPr>
                <w:b/>
                <w:bCs/>
                <w:sz w:val="24"/>
                <w:szCs w:val="24"/>
              </w:rPr>
              <w:t>Phân bổ số lượng hàng từ nhiều kho (nguồn cung) tới nhiều điểm giao (nhu cầu) với tổng chi phí nhỏ nhất, không xét thứ tự ghé thăm của từng xe</w:t>
            </w:r>
          </w:p>
        </w:tc>
      </w:tr>
    </w:tbl>
    <w:p>
      <w:pPr>
        <w:spacing w:after="0" w:before="0"/>
      </w:pPr>
    </w:p>
    <w:tbl>
      <w:tblPr>
        <w:tblW w:type="dxa" w:w="9746"/>
        <w:tblBorders>
          <w:top w:val="none"/>
          <w:left w:val="single" w:color="1F3864" w:sz="4"/>
          <w:bottom w:val="single" w:color="1F3864" w:sz="4"/>
          <w:right w:val="single" w:color="1F3864" w:sz="4"/>
          <w:insideH w:val="single" w:color="C9D6EA" w:sz="2"/>
          <w:insideV w:val="single" w:color="C9D6EA" w:sz="2"/>
        </w:tblBorders>
        <w:tblLayout w:type="fixed"/>
      </w:tblPr>
      <w:tblGrid>
        <w:gridCol w:w="2400"/>
        <w:gridCol w:w="7346"/>
      </w:tblGrid>
      <w:tr>
        <w:trPr>
          <w:cantSplit/>
          <w:tblHeader w:val="true"/>
        </w:trPr>
        <w:tc>
          <w:tcPr>
            <w:tcW w:type="dxa" w:w="2400"/>
            <w:shd w:fill="FFFFFF" w:val="clear"/>
            <w:tcMar>
              <w:top w:type="dxa" w:w="100"/>
              <w:left w:type="dxa" w:w="200"/>
              <w:bottom w:type="dxa" w:w="100"/>
              <w:right w:type="dxa" w:w="120"/>
            </w:tcMar>
          </w:tcPr>
          <w:p>
            <w:r>
              <w:rPr>
                <w:b/>
                <w:bCs/>
                <w:color w:val="2E5395"/>
                <w:sz w:val="19"/>
                <w:szCs w:val="19"/>
              </w:rPr>
              <w:t>Nguồn (dẫn chứng)</w:t>
            </w:r>
          </w:p>
        </w:tc>
        <w:tc>
          <w:tcPr>
            <w:tcW w:type="dxa" w:w="7346"/>
            <w:shd w:fill="FFFFFF" w:val="clear"/>
            <w:tcMar>
              <w:top w:type="dxa" w:w="100"/>
              <w:left w:type="dxa" w:w="120"/>
              <w:bottom w:type="dxa" w:w="100"/>
              <w:right w:type="dxa" w:w="200"/>
            </w:tcMar>
          </w:tcPr>
          <w:p>
            <w:r>
              <w:rPr>
                <w:sz w:val="20"/>
                <w:szCs w:val="20"/>
              </w:rPr>
              <w:t>Hitchcock, F. L. (1941). Journal of Mathematics and Physics, 20(1–4), 224–230. DOI: 10.1002/sapm1941201224 [R16]</w:t>
            </w:r>
          </w:p>
        </w:tc>
      </w:tr>
      <w:tr>
        <w:trPr>
          <w:cantSplit/>
        </w:trPr>
        <w:tc>
          <w:tcPr>
            <w:tcW w:type="dxa" w:w="2400"/>
            <w:shd w:fill="FFFFFF" w:val="clear"/>
            <w:tcMar>
              <w:top w:type="dxa" w:w="100"/>
              <w:left w:type="dxa" w:w="200"/>
              <w:bottom w:type="dxa" w:w="100"/>
              <w:right w:type="dxa" w:w="120"/>
            </w:tcMar>
          </w:tcPr>
          <w:p>
            <w:r>
              <w:rPr>
                <w:b/>
                <w:bCs/>
                <w:color w:val="2E5395"/>
                <w:sz w:val="19"/>
                <w:szCs w:val="19"/>
              </w:rPr>
              <w:t>Mục đích</w:t>
            </w:r>
          </w:p>
        </w:tc>
        <w:tc>
          <w:tcPr>
            <w:tcW w:type="dxa" w:w="7346"/>
            <w:shd w:fill="FFFFFF" w:val="clear"/>
            <w:tcMar>
              <w:top w:type="dxa" w:w="100"/>
              <w:left w:type="dxa" w:w="120"/>
              <w:bottom w:type="dxa" w:w="100"/>
              <w:right w:type="dxa" w:w="200"/>
            </w:tcMar>
          </w:tcPr>
          <w:p>
            <w:r>
              <w:rPr>
                <w:sz w:val="20"/>
                <w:szCs w:val="20"/>
              </w:rPr>
              <w:t>Thay thế đơn giản hơn cho Mô hình 12 khi không cần tối ưu lộ trình nhiều điểm dừng của cùng một xe — chỉ cần quyết định SỐ LƯỢNG mỗi kho gửi đi.</w:t>
            </w:r>
          </w:p>
        </w:tc>
      </w:tr>
      <w:tr>
        <w:trPr>
          <w:cantSplit/>
        </w:trPr>
        <w:tc>
          <w:tcPr>
            <w:tcW w:type="dxa" w:w="2400"/>
            <w:shd w:fill="FFFFFF" w:val="clear"/>
            <w:tcMar>
              <w:top w:type="dxa" w:w="100"/>
              <w:left w:type="dxa" w:w="200"/>
              <w:bottom w:type="dxa" w:w="100"/>
              <w:right w:type="dxa" w:w="120"/>
            </w:tcMar>
          </w:tcPr>
          <w:p>
            <w:r>
              <w:rPr>
                <w:b/>
                <w:bCs/>
                <w:color w:val="2E5395"/>
                <w:sz w:val="19"/>
                <w:szCs w:val="19"/>
              </w:rPr>
              <w:t>Vấn đề giải quyết</w:t>
            </w:r>
          </w:p>
        </w:tc>
        <w:tc>
          <w:tcPr>
            <w:tcW w:type="dxa" w:w="7346"/>
            <w:shd w:fill="FFFFFF" w:val="clear"/>
            <w:tcMar>
              <w:top w:type="dxa" w:w="100"/>
              <w:left w:type="dxa" w:w="120"/>
              <w:bottom w:type="dxa" w:w="100"/>
              <w:right w:type="dxa" w:w="200"/>
            </w:tcMar>
            <w:vAlign w:val="center"/>
          </w:tcPr>
          <w:p>
            <w:pPr>
              <w:spacing w:before="0" w:after="0"/>
            </w:pPr>
            <w:r>
              <w:rPr>
                <w:b w:val="0"/>
                <w:sz w:val="18"/>
              </w:rPr>
              <w:t>Phù hợp khi chỉ phân bổ point-to-point với chi phí tuyến tính, không multi-stop tour, không fixed vehicle activation cost và không route coupling phức tạp. Dưới các giả định đó đây là baseline nhanh; ngoài các giả định đó KHÔNG claim tương đương MDSDVRP.</w:t>
            </w:r>
          </w:p>
        </w:tc>
      </w:tr>
      <w:tr>
        <w:trPr>
          <w:cantSplit/>
        </w:trPr>
        <w:tc>
          <w:tcPr>
            <w:tcW w:type="dxa" w:w="2400"/>
            <w:shd w:fill="FFFFFF" w:val="clear"/>
            <w:tcMar>
              <w:top w:type="dxa" w:w="100"/>
              <w:left w:type="dxa" w:w="200"/>
              <w:bottom w:type="dxa" w:w="100"/>
              <w:right w:type="dxa" w:w="120"/>
            </w:tcMar>
          </w:tcPr>
          <w:p>
            <w:r>
              <w:rPr>
                <w:b/>
                <w:bCs/>
                <w:color w:val="2E5395"/>
                <w:sz w:val="19"/>
                <w:szCs w:val="19"/>
              </w:rPr>
              <w:t>Tại sao chọn công thức này</w:t>
            </w:r>
          </w:p>
        </w:tc>
        <w:tc>
          <w:tcPr>
            <w:tcW w:type="dxa" w:w="7346"/>
            <w:shd w:fill="FFFFFF" w:val="clear"/>
            <w:tcMar>
              <w:top w:type="dxa" w:w="100"/>
              <w:left w:type="dxa" w:w="120"/>
              <w:bottom w:type="dxa" w:w="100"/>
              <w:right w:type="dxa" w:w="200"/>
            </w:tcMar>
          </w:tcPr>
          <w:p>
            <w:r>
              <w:rPr>
                <w:sz w:val="20"/>
                <w:szCs w:val="20"/>
              </w:rPr>
              <w:t>Đây là mô hình toán học lâu đời, nền tảng của quy hoạch tuyến tính ứng dụng, có tính chất đặc biệt quan trọng: ma trận ràng buộc của bài toán vận tải luôn unimodular toàn phần (totally unimodular), nên nghiệm tối ưu của bài toán LP luôn là số nguyên tự nhiên — không cần kỹ thuật số nguyên phức tạp như MDSDVRP, dễ chứng minh tính đúng đắn trước hội đồng.</w:t>
            </w:r>
          </w:p>
        </w:tc>
      </w:tr>
      <w:tr>
        <w:trPr>
          <w:cantSplit/>
        </w:trPr>
        <w:tc>
          <w:tcPr>
            <w:tcW w:type="dxa" w:w="2400"/>
            <w:shd w:fill="FFFFFF" w:val="clear"/>
            <w:tcMar>
              <w:top w:type="dxa" w:w="100"/>
              <w:left w:type="dxa" w:w="200"/>
              <w:bottom w:type="dxa" w:w="100"/>
              <w:right w:type="dxa" w:w="120"/>
            </w:tcMar>
          </w:tcPr>
          <w:p>
            <w:r>
              <w:rPr>
                <w:b/>
                <w:bCs/>
                <w:color w:val="2E5395"/>
                <w:sz w:val="19"/>
                <w:szCs w:val="19"/>
              </w:rPr>
              <w:t>Giới hạn / không được claim</w:t>
            </w:r>
          </w:p>
        </w:tc>
        <w:tc>
          <w:tcPr>
            <w:tcW w:type="dxa" w:w="7346"/>
            <w:shd w:fill="FFFFFF" w:val="clear"/>
            <w:tcMar>
              <w:top w:type="dxa" w:w="100"/>
              <w:left w:type="dxa" w:w="120"/>
              <w:bottom w:type="dxa" w:w="100"/>
              <w:right w:type="dxa" w:w="200"/>
            </w:tcMar>
          </w:tcPr>
          <w:p>
            <w:r>
              <w:rPr>
                <w:sz w:val="20"/>
                <w:szCs w:val="20"/>
              </w:rPr>
              <w:t>Không tối ưu được trường hợp một xe ghé nhiều điểm giao trong một chuyến (multi-stop tour); phù hợp làm phiên bản MVP hoặc khi phần lớn giao hàng là điểm-đến-điểm.</w:t>
            </w:r>
          </w:p>
        </w:tc>
      </w:tr>
    </w:tbl>
    <w:p>
      <w:pPr>
        <w:spacing w:after="120"/>
      </w:pPr>
    </w:p>
    <w:p>
      <w:pPr>
        <w:pStyle w:val="Heading2"/>
        <w:spacing w:after="120" w:before="260"/>
      </w:pPr>
      <w:r>
        <w:rPr>
          <w:b/>
          <w:bCs/>
          <w:color w:val="2E5395"/>
          <w:sz w:val="25"/>
          <w:szCs w:val="25"/>
        </w:rPr>
        <w:t>3.10. Luân chuyển hàng giữa các kho (rebalancing)</w:t>
      </w:r>
    </w:p>
    <w:tbl>
      <w:tblPr>
        <w:tblW w:type="dxa" w:w="9746"/>
        <w:tblBorders>
          <w:top w:val="single" w:color="1F3864" w:sz="4"/>
          <w:left w:val="single" w:color="1F3864" w:sz="4"/>
          <w:bottom w:val="none"/>
          <w:right w:val="single" w:color="1F3864" w:sz="4"/>
          <w:insideH w:val="none"/>
          <w:insideV w:val="none"/>
        </w:tblBorders>
        <w:tblLayout w:type="fixed"/>
      </w:tblPr>
      <w:tblGrid>
        <w:gridCol w:w="9746"/>
      </w:tblGrid>
      <w:tr>
        <w:trPr>
          <w:cantSplit/>
        </w:trPr>
        <w:tc>
          <w:tcPr>
            <w:tcW w:type="dxa" w:w="9746"/>
            <w:shd w:fill="EAF0FA" w:val="clear"/>
            <w:tcMar>
              <w:top w:type="dxa" w:w="140"/>
              <w:left w:type="dxa" w:w="200"/>
              <w:bottom w:type="dxa" w:w="140"/>
              <w:right w:type="dxa" w:w="200"/>
            </w:tcMar>
          </w:tcPr>
          <w:p>
            <w:r>
              <w:rPr>
                <w:b/>
                <w:bCs/>
                <w:color w:val="1F3864"/>
                <w:sz w:val="20"/>
                <w:szCs w:val="20"/>
              </w:rPr>
              <w:t>Mô hình 13 — Mô hình luân chuyển/tái phân bổ tồn kho đa vị trí</w:t>
            </w:r>
          </w:p>
          <w:p>
            <w:pPr>
              <w:spacing w:before="80"/>
            </w:pPr>
            <w:r>
              <w:rPr>
                <w:b/>
                <w:bCs/>
                <w:sz w:val="24"/>
                <w:szCs w:val="24"/>
              </w:rPr>
              <w:t>Đồng thời quyết định: kho/điểm nào tham gia luân chuyển, thứ tự ghé thăm, số lượng chuyển ban đầu, số lượng luân chuyển bổ sung, và thời điểm — dưới điều kiện nhu cầu ngẫu nhiên và sản phẩm dễ hỏng</w:t>
            </w:r>
          </w:p>
        </w:tc>
      </w:tr>
    </w:tbl>
    <w:p>
      <w:pPr>
        <w:spacing w:after="0" w:before="0"/>
      </w:pPr>
    </w:p>
    <w:tbl>
      <w:tblPr>
        <w:tblW w:type="dxa" w:w="9746"/>
        <w:tblBorders>
          <w:top w:val="none"/>
          <w:left w:val="single" w:color="1F3864" w:sz="4"/>
          <w:bottom w:val="single" w:color="1F3864" w:sz="4"/>
          <w:right w:val="single" w:color="1F3864" w:sz="4"/>
          <w:insideH w:val="single" w:color="C9D6EA" w:sz="2"/>
          <w:insideV w:val="single" w:color="C9D6EA" w:sz="2"/>
        </w:tblBorders>
        <w:tblLayout w:type="fixed"/>
      </w:tblPr>
      <w:tblGrid>
        <w:gridCol w:w="2400"/>
        <w:gridCol w:w="7346"/>
      </w:tblGrid>
      <w:tr>
        <w:trPr>
          <w:cantSplit/>
          <w:tblHeader w:val="true"/>
        </w:trPr>
        <w:tc>
          <w:tcPr>
            <w:tcW w:type="dxa" w:w="2400"/>
            <w:shd w:fill="FFFFFF" w:val="clear"/>
            <w:tcMar>
              <w:top w:type="dxa" w:w="100"/>
              <w:left w:type="dxa" w:w="200"/>
              <w:bottom w:type="dxa" w:w="100"/>
              <w:right w:type="dxa" w:w="120"/>
            </w:tcMar>
          </w:tcPr>
          <w:p>
            <w:r>
              <w:rPr>
                <w:b/>
                <w:bCs/>
                <w:color w:val="2E5395"/>
                <w:sz w:val="19"/>
                <w:szCs w:val="19"/>
              </w:rPr>
              <w:t>Nguồn (dẫn chứng)</w:t>
            </w:r>
          </w:p>
        </w:tc>
        <w:tc>
          <w:tcPr>
            <w:tcW w:type="dxa" w:w="7346"/>
            <w:shd w:fill="FFFFFF" w:val="clear"/>
            <w:tcMar>
              <w:top w:type="dxa" w:w="100"/>
              <w:left w:type="dxa" w:w="120"/>
              <w:bottom w:type="dxa" w:w="100"/>
              <w:right w:type="dxa" w:w="200"/>
            </w:tcMar>
          </w:tcPr>
          <w:p>
            <w:r>
              <w:rPr>
                <w:sz w:val="20"/>
                <w:szCs w:val="20"/>
              </w:rPr>
              <w:t>Turan, B., Minner, S. &amp; Hartl, R. F. (2017). Computers &amp; Operations Research, 78, 526–536. DOI: 10.1016/j.cor.2016.02.018 [R14]</w:t>
            </w:r>
          </w:p>
        </w:tc>
      </w:tr>
      <w:tr>
        <w:trPr>
          <w:cantSplit/>
        </w:trPr>
        <w:tc>
          <w:tcPr>
            <w:tcW w:type="dxa" w:w="2400"/>
            <w:shd w:fill="FFFFFF" w:val="clear"/>
            <w:tcMar>
              <w:top w:type="dxa" w:w="100"/>
              <w:left w:type="dxa" w:w="200"/>
              <w:bottom w:type="dxa" w:w="100"/>
              <w:right w:type="dxa" w:w="120"/>
            </w:tcMar>
          </w:tcPr>
          <w:p>
            <w:r>
              <w:rPr>
                <w:b/>
                <w:bCs/>
                <w:color w:val="2E5395"/>
                <w:sz w:val="19"/>
                <w:szCs w:val="19"/>
              </w:rPr>
              <w:t>Mục đích</w:t>
            </w:r>
          </w:p>
        </w:tc>
        <w:tc>
          <w:tcPr>
            <w:tcW w:type="dxa" w:w="7346"/>
            <w:shd w:fill="FFFFFF" w:val="clear"/>
            <w:tcMar>
              <w:top w:type="dxa" w:w="100"/>
              <w:left w:type="dxa" w:w="120"/>
              <w:bottom w:type="dxa" w:w="100"/>
              <w:right w:type="dxa" w:w="200"/>
            </w:tcMar>
          </w:tcPr>
          <w:p>
            <w:r>
              <w:rPr>
                <w:sz w:val="20"/>
                <w:szCs w:val="20"/>
              </w:rPr>
              <w:t>Trả lời phần "luân chuyển giữa các kho" trong Câu hỏi 1: khi một kho tồn dư hàng còn kho khác thiếu, hệ thống quyết định có nên chuyển hàng giữa hai kho hay không, chuyển bao nhiêu, khi nào.</w:t>
            </w:r>
          </w:p>
        </w:tc>
      </w:tr>
      <w:tr>
        <w:trPr>
          <w:cantSplit/>
        </w:trPr>
        <w:tc>
          <w:tcPr>
            <w:tcW w:type="dxa" w:w="2400"/>
            <w:shd w:fill="FFFFFF" w:val="clear"/>
            <w:tcMar>
              <w:top w:type="dxa" w:w="100"/>
              <w:left w:type="dxa" w:w="200"/>
              <w:bottom w:type="dxa" w:w="100"/>
              <w:right w:type="dxa" w:w="120"/>
            </w:tcMar>
          </w:tcPr>
          <w:p>
            <w:r>
              <w:rPr>
                <w:b/>
                <w:bCs/>
                <w:color w:val="2E5395"/>
                <w:sz w:val="19"/>
                <w:szCs w:val="19"/>
              </w:rPr>
              <w:t>Vấn đề giải quyết</w:t>
            </w:r>
          </w:p>
        </w:tc>
        <w:tc>
          <w:tcPr>
            <w:tcW w:type="dxa" w:w="7346"/>
            <w:shd w:fill="FFFFFF" w:val="clear"/>
            <w:tcMar>
              <w:top w:type="dxa" w:w="100"/>
              <w:left w:type="dxa" w:w="120"/>
              <w:bottom w:type="dxa" w:w="100"/>
              <w:right w:type="dxa" w:w="200"/>
            </w:tcMar>
          </w:tcPr>
          <w:p>
            <w:r>
              <w:rPr>
                <w:sz w:val="20"/>
                <w:szCs w:val="20"/>
              </w:rPr>
              <w:t>Nếu không có cơ chế luân chuyển, hệ thống chỉ có thể phân bổ đơn hàng mới (Mô hình 12) mà không thể chủ động cân bằng lại tồn kho hiện có — dẫn đến lãng phí ở kho thừa và thiếu hụt ở kho khác dù tổng tồn kho toàn hệ thống đủ.</w:t>
            </w:r>
          </w:p>
        </w:tc>
      </w:tr>
      <w:tr>
        <w:trPr>
          <w:cantSplit/>
        </w:trPr>
        <w:tc>
          <w:tcPr>
            <w:tcW w:type="dxa" w:w="2400"/>
            <w:shd w:fill="FFFFFF" w:val="clear"/>
            <w:tcMar>
              <w:top w:type="dxa" w:w="100"/>
              <w:left w:type="dxa" w:w="200"/>
              <w:bottom w:type="dxa" w:w="100"/>
              <w:right w:type="dxa" w:w="120"/>
            </w:tcMar>
          </w:tcPr>
          <w:p>
            <w:r>
              <w:rPr>
                <w:b/>
                <w:bCs/>
                <w:color w:val="2E5395"/>
                <w:sz w:val="19"/>
                <w:szCs w:val="19"/>
              </w:rPr>
              <w:t>Tại sao chọn công thức này</w:t>
            </w:r>
          </w:p>
        </w:tc>
        <w:tc>
          <w:tcPr>
            <w:tcW w:type="dxa" w:w="7346"/>
            <w:shd w:fill="FFFFFF" w:val="clear"/>
            <w:tcMar>
              <w:top w:type="dxa" w:w="100"/>
              <w:left w:type="dxa" w:w="120"/>
              <w:bottom w:type="dxa" w:w="100"/>
              <w:right w:type="dxa" w:w="200"/>
            </w:tcMar>
          </w:tcPr>
          <w:p>
            <w:r>
              <w:rPr>
                <w:sz w:val="20"/>
                <w:szCs w:val="20"/>
              </w:rPr>
              <w:t>Đây là nghiên cứu hiếm hoi giải đồng thời cả ba yếu tố (dễ hỏng + bất định nhu cầu + luân chuyển đa vị trí + định tuyến), dùng thuật toán tìm kiếm lân cận biến đổi (VNS) kết hợp quy hoạch động — cho lời giải chất lượng cao trong thời gian hợp lý, phù hợp với quy mô mạng lưới nhiều kho.</w:t>
            </w:r>
          </w:p>
        </w:tc>
      </w:tr>
      <w:tr>
        <w:trPr>
          <w:cantSplit/>
        </w:trPr>
        <w:tc>
          <w:tcPr>
            <w:tcW w:type="dxa" w:w="2400"/>
            <w:shd w:fill="FFFFFF" w:val="clear"/>
            <w:tcMar>
              <w:top w:type="dxa" w:w="100"/>
              <w:left w:type="dxa" w:w="200"/>
              <w:bottom w:type="dxa" w:w="100"/>
              <w:right w:type="dxa" w:w="120"/>
            </w:tcMar>
          </w:tcPr>
          <w:p>
            <w:r>
              <w:rPr>
                <w:b/>
                <w:bCs/>
                <w:color w:val="2E5395"/>
                <w:sz w:val="19"/>
                <w:szCs w:val="19"/>
              </w:rPr>
              <w:t>Giới hạn / không được claim</w:t>
            </w:r>
          </w:p>
        </w:tc>
        <w:tc>
          <w:tcPr>
            <w:tcW w:type="dxa" w:w="7346"/>
            <w:shd w:fill="FFFFFF" w:val="clear"/>
            <w:tcMar>
              <w:top w:type="dxa" w:w="100"/>
              <w:left w:type="dxa" w:w="120"/>
              <w:bottom w:type="dxa" w:w="100"/>
              <w:right w:type="dxa" w:w="200"/>
            </w:tcMar>
            <w:vAlign w:val="center"/>
          </w:tcPr>
          <w:p>
            <w:pPr>
              <w:spacing w:before="0" w:after="0"/>
            </w:pPr>
            <w:r>
              <w:rPr>
                <w:b w:val="0"/>
                <w:sz w:val="18"/>
              </w:rPr>
              <w:t>Mô hình gốc có central warehouse + multiple retail stores và redistribution trong network retail. Mạng nhiều kho ngang hàng không đồng nhất hoàn toàn; dùng R14 cho rebalancing phải ghi rõ adaptation và benchmark bằng dữ liệu mô phỏng/thật.</w:t>
            </w:r>
          </w:p>
        </w:tc>
      </w:tr>
    </w:tbl>
    <w:p>
      <w:pPr>
        <w:spacing w:after="120"/>
      </w:pPr>
    </w:p>
    <w:p>
      <w:pPr>
        <w:pStyle w:val="Heading2"/>
        <w:spacing w:after="120" w:before="260"/>
      </w:pPr>
      <w:r>
        <w:rPr>
          <w:b/>
          <w:bCs/>
          <w:color w:val="2E5395"/>
          <w:sz w:val="25"/>
          <w:szCs w:val="25"/>
        </w:rPr>
        <w:t>3.11. Vì sao dùng phân rã hai giai đoạn thay vì một mô hình gộp duy nhất?</w:t>
      </w:r>
    </w:p>
    <w:tbl>
      <w:tblPr>
        <w:tblW w:type="dxa" w:w="9746"/>
        <w:tblBorders>
          <w:top w:val="single" w:color="1F3864" w:sz="4"/>
          <w:left w:val="single" w:color="1F3864" w:sz="4"/>
          <w:bottom w:val="none"/>
          <w:right w:val="single" w:color="1F3864" w:sz="4"/>
          <w:insideH w:val="none"/>
          <w:insideV w:val="none"/>
        </w:tblBorders>
        <w:tblLayout w:type="fixed"/>
      </w:tblPr>
      <w:tblGrid>
        <w:gridCol w:w="9746"/>
      </w:tblGrid>
      <w:tr>
        <w:trPr>
          <w:cantSplit/>
        </w:trPr>
        <w:tc>
          <w:tcPr>
            <w:tcW w:type="dxa" w:w="9746"/>
            <w:shd w:fill="EAF0FA" w:val="clear"/>
            <w:tcMar>
              <w:top w:type="dxa" w:w="140"/>
              <w:left w:type="dxa" w:w="200"/>
              <w:bottom w:type="dxa" w:w="140"/>
              <w:right w:type="dxa" w:w="200"/>
            </w:tcMar>
          </w:tcPr>
          <w:p>
            <w:r>
              <w:rPr>
                <w:b/>
                <w:bCs/>
                <w:color w:val="1F3864"/>
                <w:sz w:val="20"/>
                <w:szCs w:val="20"/>
              </w:rPr>
              <w:t>Cơ sở lựa chọn kiến trúc — Bài toán tích hợp tồn kho–định tuyến hàng dễ hỏng (PIRP)</w:t>
            </w:r>
          </w:p>
          <w:p>
            <w:pPr>
              <w:spacing w:before="80"/>
            </w:pPr>
            <w:r>
              <w:rPr>
                <w:b/>
                <w:bCs/>
                <w:sz w:val="24"/>
                <w:szCs w:val="24"/>
              </w:rPr>
              <w:t>Bốn dạng công thức hoá khác nhau + thuật toán branch-and-cut chính xác + heuristic lai (hybrid) cho bài toán tồn kho–định tuyến với sản phẩm dễ hỏng</w:t>
            </w:r>
          </w:p>
        </w:tc>
      </w:tr>
    </w:tbl>
    <w:p>
      <w:pPr>
        <w:spacing w:after="0" w:before="0"/>
      </w:pPr>
    </w:p>
    <w:tbl>
      <w:tblPr>
        <w:tblW w:type="dxa" w:w="9746"/>
        <w:tblBorders>
          <w:top w:val="none"/>
          <w:left w:val="single" w:color="1F3864" w:sz="4"/>
          <w:bottom w:val="single" w:color="1F3864" w:sz="4"/>
          <w:right w:val="single" w:color="1F3864" w:sz="4"/>
          <w:insideH w:val="single" w:color="C9D6EA" w:sz="2"/>
          <w:insideV w:val="single" w:color="C9D6EA" w:sz="2"/>
        </w:tblBorders>
        <w:tblLayout w:type="fixed"/>
      </w:tblPr>
      <w:tblGrid>
        <w:gridCol w:w="2400"/>
        <w:gridCol w:w="7346"/>
      </w:tblGrid>
      <w:tr>
        <w:trPr>
          <w:cantSplit/>
          <w:tblHeader w:val="true"/>
        </w:trPr>
        <w:tc>
          <w:tcPr>
            <w:tcW w:type="dxa" w:w="2400"/>
            <w:shd w:fill="FFFFFF" w:val="clear"/>
            <w:tcMar>
              <w:top w:type="dxa" w:w="100"/>
              <w:left w:type="dxa" w:w="200"/>
              <w:bottom w:type="dxa" w:w="100"/>
              <w:right w:type="dxa" w:w="120"/>
            </w:tcMar>
          </w:tcPr>
          <w:p>
            <w:r>
              <w:rPr>
                <w:b/>
                <w:bCs/>
                <w:color w:val="2E5395"/>
                <w:sz w:val="19"/>
                <w:szCs w:val="19"/>
              </w:rPr>
              <w:t>Nguồn (dẫn chứng)</w:t>
            </w:r>
          </w:p>
        </w:tc>
        <w:tc>
          <w:tcPr>
            <w:tcW w:type="dxa" w:w="7346"/>
            <w:shd w:fill="FFFFFF" w:val="clear"/>
            <w:tcMar>
              <w:top w:type="dxa" w:w="100"/>
              <w:left w:type="dxa" w:w="120"/>
              <w:bottom w:type="dxa" w:w="100"/>
              <w:right w:type="dxa" w:w="200"/>
            </w:tcMar>
          </w:tcPr>
          <w:p>
            <w:r>
              <w:rPr>
                <w:sz w:val="20"/>
                <w:szCs w:val="20"/>
              </w:rPr>
              <w:t>Alvarez, A., Cordeau, J.-F., Jans, R., Munari, P. &amp; Morabito, R. (2020). European Journal of Operational Research, 283(2), 511–529. DOI: 10.1016/j.ejor.2019.11.015 [R15]</w:t>
            </w:r>
          </w:p>
        </w:tc>
      </w:tr>
      <w:tr>
        <w:trPr>
          <w:cantSplit/>
        </w:trPr>
        <w:tc>
          <w:tcPr>
            <w:tcW w:type="dxa" w:w="2400"/>
            <w:shd w:fill="FFFFFF" w:val="clear"/>
            <w:tcMar>
              <w:top w:type="dxa" w:w="100"/>
              <w:left w:type="dxa" w:w="200"/>
              <w:bottom w:type="dxa" w:w="100"/>
              <w:right w:type="dxa" w:w="120"/>
            </w:tcMar>
          </w:tcPr>
          <w:p>
            <w:r>
              <w:rPr>
                <w:b/>
                <w:bCs/>
                <w:color w:val="2E5395"/>
                <w:sz w:val="19"/>
                <w:szCs w:val="19"/>
              </w:rPr>
              <w:t>Mục đích</w:t>
            </w:r>
          </w:p>
        </w:tc>
        <w:tc>
          <w:tcPr>
            <w:tcW w:type="dxa" w:w="7346"/>
            <w:shd w:fill="FFFFFF" w:val="clear"/>
            <w:tcMar>
              <w:top w:type="dxa" w:w="100"/>
              <w:left w:type="dxa" w:w="120"/>
              <w:bottom w:type="dxa" w:w="100"/>
              <w:right w:type="dxa" w:w="200"/>
            </w:tcMar>
          </w:tcPr>
          <w:p>
            <w:r>
              <w:rPr>
                <w:sz w:val="20"/>
                <w:szCs w:val="20"/>
              </w:rPr>
              <w:t>Cung cấp bằng chứng khoa học cho việc bài toán "tồn kho + định tuyến" tích hợp hoàn toàn (giải một lần bằng một mô hình gộp duy nhất) là khả thi về mặt lý thuyết nhưng cực kỳ nặng về tính toán.</w:t>
            </w:r>
          </w:p>
        </w:tc>
      </w:tr>
      <w:tr>
        <w:trPr>
          <w:cantSplit/>
        </w:trPr>
        <w:tc>
          <w:tcPr>
            <w:tcW w:type="dxa" w:w="2400"/>
            <w:shd w:fill="FFFFFF" w:val="clear"/>
            <w:tcMar>
              <w:top w:type="dxa" w:w="100"/>
              <w:left w:type="dxa" w:w="200"/>
              <w:bottom w:type="dxa" w:w="100"/>
              <w:right w:type="dxa" w:w="120"/>
            </w:tcMar>
          </w:tcPr>
          <w:p>
            <w:r>
              <w:rPr>
                <w:b/>
                <w:bCs/>
                <w:color w:val="2E5395"/>
                <w:sz w:val="19"/>
                <w:szCs w:val="19"/>
              </w:rPr>
              <w:t>Vấn đề giải quyết</w:t>
            </w:r>
          </w:p>
        </w:tc>
        <w:tc>
          <w:tcPr>
            <w:tcW w:type="dxa" w:w="7346"/>
            <w:shd w:fill="FFFFFF" w:val="clear"/>
            <w:tcMar>
              <w:top w:type="dxa" w:w="100"/>
              <w:left w:type="dxa" w:w="120"/>
              <w:bottom w:type="dxa" w:w="100"/>
              <w:right w:type="dxa" w:w="200"/>
            </w:tcMar>
          </w:tcPr>
          <w:p>
            <w:r>
              <w:rPr>
                <w:sz w:val="20"/>
                <w:szCs w:val="20"/>
              </w:rPr>
              <w:t>Trả lời câu hỏi phương pháp luận: tại sao framework của đồ án tách thành hai giai đoạn (Giai đoạn 1: lọc khả thi theo hạn sử dụng/lô hàng ở Mục 3.4–3.5; Giai đoạn 2: phân bổ/định tuyến ở Mục 3.9) thay vì giải một mô hình MILP gộp toàn bộ cùng lúc.</w:t>
            </w:r>
          </w:p>
        </w:tc>
      </w:tr>
      <w:tr>
        <w:trPr>
          <w:cantSplit/>
        </w:trPr>
        <w:tc>
          <w:tcPr>
            <w:tcW w:type="dxa" w:w="2400"/>
            <w:shd w:fill="FFFFFF" w:val="clear"/>
            <w:tcMar>
              <w:top w:type="dxa" w:w="100"/>
              <w:left w:type="dxa" w:w="200"/>
              <w:bottom w:type="dxa" w:w="100"/>
              <w:right w:type="dxa" w:w="120"/>
            </w:tcMar>
          </w:tcPr>
          <w:p>
            <w:r>
              <w:rPr>
                <w:b/>
                <w:bCs/>
                <w:color w:val="2E5395"/>
                <w:sz w:val="19"/>
                <w:szCs w:val="19"/>
              </w:rPr>
              <w:t>Tại sao chọn công thức này</w:t>
            </w:r>
          </w:p>
        </w:tc>
        <w:tc>
          <w:tcPr>
            <w:tcW w:type="dxa" w:w="7346"/>
            <w:shd w:fill="FFFFFF" w:val="clear"/>
            <w:tcMar>
              <w:top w:type="dxa" w:w="100"/>
              <w:left w:type="dxa" w:w="120"/>
              <w:bottom w:type="dxa" w:w="100"/>
              <w:right w:type="dxa" w:w="200"/>
            </w:tcMar>
          </w:tcPr>
          <w:p>
            <w:r>
              <w:rPr>
                <w:sz w:val="20"/>
                <w:szCs w:val="20"/>
              </w:rPr>
              <w:t>Bài báo cho thấy ngay cả với heuristic lai tiên tiến, bài toán tích hợp đầy đủ vẫn đòi hỏi thời gian tính toán lớn cho các instance vừa và lớn. Vì chưa có bài báo nào xác nhận một mô hình duy nhất giải đúng toàn bộ chuỗi (cold-start + Min-RSL + MLOR + FEFO theo lô + chia đơn đa kho + luân chuyển + định tuyến) cùng lúc, cách an toàn về mặt học thuật và khả thi về mặt thời gian đồ án là dùng kiến trúc phân rã (decomposition) — đây được ghi nhận rõ là đóng góp tích hợp của đồ án, không phải một mô hình có sẵn.</w:t>
            </w:r>
          </w:p>
        </w:tc>
      </w:tr>
      <w:tr>
        <w:trPr>
          <w:cantSplit/>
        </w:trPr>
        <w:tc>
          <w:tcPr>
            <w:tcW w:type="dxa" w:w="2400"/>
            <w:shd w:fill="FFFFFF" w:val="clear"/>
            <w:tcMar>
              <w:top w:type="dxa" w:w="100"/>
              <w:left w:type="dxa" w:w="200"/>
              <w:bottom w:type="dxa" w:w="100"/>
              <w:right w:type="dxa" w:w="120"/>
            </w:tcMar>
          </w:tcPr>
          <w:p>
            <w:r>
              <w:rPr>
                <w:b/>
                <w:bCs/>
                <w:color w:val="2E5395"/>
                <w:sz w:val="19"/>
                <w:szCs w:val="19"/>
              </w:rPr>
              <w:t>Giới hạn / không được claim</w:t>
            </w:r>
          </w:p>
        </w:tc>
        <w:tc>
          <w:tcPr>
            <w:tcW w:type="dxa" w:w="7346"/>
            <w:shd w:fill="FFFFFF" w:val="clear"/>
            <w:tcMar>
              <w:top w:type="dxa" w:w="100"/>
              <w:left w:type="dxa" w:w="120"/>
              <w:bottom w:type="dxa" w:w="100"/>
              <w:right w:type="dxa" w:w="200"/>
            </w:tcMar>
          </w:tcPr>
          <w:p>
            <w:r>
              <w:rPr>
                <w:sz w:val="20"/>
                <w:szCs w:val="20"/>
              </w:rPr>
              <w:t>Phân rã có thể mất một phần chất lượng nghiệm so với giải gộp lý tưởng (tối ưu toàn cục) — cần benchmark so sánh với các trường hợp nhỏ giải được bằng phương pháp gộp/tìm kiếm đầy đủ để đo mức chênh lệch này.</w:t>
            </w:r>
          </w:p>
        </w:tc>
      </w:tr>
    </w:tbl>
    <w:p>
      <w:pPr>
        <w:spacing w:after="120"/>
      </w:pPr>
    </w:p>
    <w:p>
      <w:pPr>
        <w:pStyle w:val="Heading2"/>
        <w:spacing w:after="120" w:before="260"/>
      </w:pPr>
      <w:r>
        <w:rPr>
          <w:b/>
          <w:bCs/>
          <w:color w:val="2E5395"/>
          <w:sz w:val="25"/>
          <w:szCs w:val="25"/>
        </w:rPr>
        <w:t>3.12. Chỉ số hỗ trợ: Fresh Case Cover</w:t>
      </w:r>
    </w:p>
    <w:tbl>
      <w:tblPr>
        <w:tblW w:type="dxa" w:w="9746"/>
        <w:tblBorders>
          <w:top w:val="single" w:color="1F3864" w:sz="4"/>
          <w:left w:val="single" w:color="1F3864" w:sz="4"/>
          <w:bottom w:val="none"/>
          <w:right w:val="single" w:color="1F3864" w:sz="4"/>
          <w:insideH w:val="none"/>
          <w:insideV w:val="none"/>
        </w:tblBorders>
        <w:tblLayout w:type="fixed"/>
      </w:tblPr>
      <w:tblGrid>
        <w:gridCol w:w="9746"/>
      </w:tblGrid>
      <w:tr>
        <w:trPr>
          <w:cantSplit/>
        </w:trPr>
        <w:tc>
          <w:tcPr>
            <w:tcW w:type="dxa" w:w="9746"/>
            <w:shd w:fill="EAF0FA" w:val="clear"/>
            <w:tcMar>
              <w:top w:type="dxa" w:w="140"/>
              <w:left w:type="dxa" w:w="200"/>
              <w:bottom w:type="dxa" w:w="140"/>
              <w:right w:type="dxa" w:w="200"/>
            </w:tcMar>
          </w:tcPr>
          <w:p>
            <w:r>
              <w:rPr>
                <w:b/>
                <w:bCs/>
                <w:color w:val="1F3864"/>
                <w:sz w:val="20"/>
                <w:szCs w:val="20"/>
              </w:rPr>
              <w:t>Mô hình 14 — Fresh Case Cover (FCC)</w:t>
            </w:r>
          </w:p>
          <w:p>
            <w:pPr>
              <w:spacing w:before="80"/>
            </w:pPr>
            <w:r>
              <w:rPr>
                <w:b/>
                <w:bCs/>
                <w:sz w:val="24"/>
                <w:szCs w:val="24"/>
              </w:rPr>
              <w:t>FCC = Q / (m × μ)</w:t>
            </w:r>
          </w:p>
        </w:tc>
      </w:tr>
    </w:tbl>
    <w:p>
      <w:pPr>
        <w:spacing w:after="0" w:before="0"/>
      </w:pPr>
    </w:p>
    <w:tbl>
      <w:tblPr>
        <w:tblW w:type="dxa" w:w="9746"/>
        <w:tblBorders>
          <w:top w:val="none"/>
          <w:left w:val="single" w:color="1F3864" w:sz="4"/>
          <w:bottom w:val="single" w:color="1F3864" w:sz="4"/>
          <w:right w:val="single" w:color="1F3864" w:sz="4"/>
          <w:insideH w:val="single" w:color="C9D6EA" w:sz="2"/>
          <w:insideV w:val="single" w:color="C9D6EA" w:sz="2"/>
        </w:tblBorders>
        <w:tblLayout w:type="fixed"/>
      </w:tblPr>
      <w:tblGrid>
        <w:gridCol w:w="2400"/>
        <w:gridCol w:w="7346"/>
      </w:tblGrid>
      <w:tr>
        <w:trPr>
          <w:cantSplit/>
          <w:tblHeader w:val="true"/>
        </w:trPr>
        <w:tc>
          <w:tcPr>
            <w:tcW w:type="dxa" w:w="2400"/>
            <w:shd w:fill="FFFFFF" w:val="clear"/>
            <w:tcMar>
              <w:top w:type="dxa" w:w="100"/>
              <w:left w:type="dxa" w:w="200"/>
              <w:bottom w:type="dxa" w:w="100"/>
              <w:right w:type="dxa" w:w="120"/>
            </w:tcMar>
          </w:tcPr>
          <w:p>
            <w:r>
              <w:rPr>
                <w:b/>
                <w:bCs/>
                <w:color w:val="2E5395"/>
                <w:sz w:val="19"/>
                <w:szCs w:val="19"/>
              </w:rPr>
              <w:t>Nguồn (dẫn chứng)</w:t>
            </w:r>
          </w:p>
        </w:tc>
        <w:tc>
          <w:tcPr>
            <w:tcW w:type="dxa" w:w="7346"/>
            <w:shd w:fill="FFFFFF" w:val="clear"/>
            <w:tcMar>
              <w:top w:type="dxa" w:w="100"/>
              <w:left w:type="dxa" w:w="120"/>
              <w:bottom w:type="dxa" w:w="100"/>
              <w:right w:type="dxa" w:w="200"/>
            </w:tcMar>
          </w:tcPr>
          <w:p>
            <w:r>
              <w:rPr>
                <w:sz w:val="20"/>
                <w:szCs w:val="20"/>
              </w:rPr>
              <w:t>Broekmeulen, R. A. C. M. &amp; van Donselaar, K. H. (2019). International Journal of Production Economics, 209, 265–273, Sec.4, Eq.(2). DOI: 10.1016/j.ijpe.2017.10.003 [R9]</w:t>
            </w:r>
          </w:p>
        </w:tc>
      </w:tr>
      <w:tr>
        <w:trPr>
          <w:cantSplit/>
        </w:trPr>
        <w:tc>
          <w:tcPr>
            <w:tcW w:type="dxa" w:w="2400"/>
            <w:shd w:fill="FFFFFF" w:val="clear"/>
            <w:tcMar>
              <w:top w:type="dxa" w:w="100"/>
              <w:left w:type="dxa" w:w="200"/>
              <w:bottom w:type="dxa" w:w="100"/>
              <w:right w:type="dxa" w:w="120"/>
            </w:tcMar>
          </w:tcPr>
          <w:p>
            <w:r>
              <w:rPr>
                <w:b/>
                <w:bCs/>
                <w:color w:val="2E5395"/>
                <w:sz w:val="19"/>
                <w:szCs w:val="19"/>
              </w:rPr>
              <w:t>Mục đích</w:t>
            </w:r>
          </w:p>
        </w:tc>
        <w:tc>
          <w:tcPr>
            <w:tcW w:type="dxa" w:w="7346"/>
            <w:shd w:fill="FFFFFF" w:val="clear"/>
            <w:tcMar>
              <w:top w:type="dxa" w:w="100"/>
              <w:left w:type="dxa" w:w="120"/>
              <w:bottom w:type="dxa" w:w="100"/>
              <w:right w:type="dxa" w:w="200"/>
            </w:tcMar>
          </w:tcPr>
          <w:p>
            <w:r>
              <w:rPr>
                <w:sz w:val="20"/>
                <w:szCs w:val="20"/>
              </w:rPr>
              <w:t>Q = quy cách đóng gói (case pack size); m = hạn sử dụng tại cửa hàng; μ = doanh số bán trung bình mỗi ngày. FCC là chỉ số nhanh để đánh giá xem một quy cách đóng gói có khả năng bán hết trước khi hết hạn hay không.</w:t>
            </w:r>
          </w:p>
        </w:tc>
      </w:tr>
      <w:tr>
        <w:trPr>
          <w:cantSplit/>
        </w:trPr>
        <w:tc>
          <w:tcPr>
            <w:tcW w:type="dxa" w:w="2400"/>
            <w:shd w:fill="FFFFFF" w:val="clear"/>
            <w:tcMar>
              <w:top w:type="dxa" w:w="100"/>
              <w:left w:type="dxa" w:w="200"/>
              <w:bottom w:type="dxa" w:w="100"/>
              <w:right w:type="dxa" w:w="120"/>
            </w:tcMar>
          </w:tcPr>
          <w:p>
            <w:r>
              <w:rPr>
                <w:b/>
                <w:bCs/>
                <w:color w:val="2E5395"/>
                <w:sz w:val="19"/>
                <w:szCs w:val="19"/>
              </w:rPr>
              <w:t>Vấn đề giải quyết</w:t>
            </w:r>
          </w:p>
        </w:tc>
        <w:tc>
          <w:tcPr>
            <w:tcW w:type="dxa" w:w="7346"/>
            <w:shd w:fill="FFFFFF" w:val="clear"/>
            <w:tcMar>
              <w:top w:type="dxa" w:w="100"/>
              <w:left w:type="dxa" w:w="120"/>
              <w:bottom w:type="dxa" w:w="100"/>
              <w:right w:type="dxa" w:w="200"/>
            </w:tcMar>
          </w:tcPr>
          <w:p>
            <w:r>
              <w:rPr>
                <w:sz w:val="20"/>
                <w:szCs w:val="20"/>
              </w:rPr>
              <w:t>Bổ sung một chỉ số theo dõi (KPI) đơn giản, dễ tính, để giải thích mối quan hệ giữa hạn sử dụng và tốc độ bán hàng — hỗ trợ diễn giải kết quả, không phải công cụ ra quyết định phân bổ chính.</w:t>
            </w:r>
          </w:p>
        </w:tc>
      </w:tr>
      <w:tr>
        <w:trPr>
          <w:cantSplit/>
        </w:trPr>
        <w:tc>
          <w:tcPr>
            <w:tcW w:type="dxa" w:w="2400"/>
            <w:shd w:fill="FFFFFF" w:val="clear"/>
            <w:tcMar>
              <w:top w:type="dxa" w:w="100"/>
              <w:left w:type="dxa" w:w="200"/>
              <w:bottom w:type="dxa" w:w="100"/>
              <w:right w:type="dxa" w:w="120"/>
            </w:tcMar>
          </w:tcPr>
          <w:p>
            <w:r>
              <w:rPr>
                <w:b/>
                <w:bCs/>
                <w:color w:val="2E5395"/>
                <w:sz w:val="19"/>
                <w:szCs w:val="19"/>
              </w:rPr>
              <w:t>Tại sao chọn công thức này</w:t>
            </w:r>
          </w:p>
        </w:tc>
        <w:tc>
          <w:tcPr>
            <w:tcW w:type="dxa" w:w="7346"/>
            <w:shd w:fill="FFFFFF" w:val="clear"/>
            <w:tcMar>
              <w:top w:type="dxa" w:w="100"/>
              <w:left w:type="dxa" w:w="120"/>
              <w:bottom w:type="dxa" w:w="100"/>
              <w:right w:type="dxa" w:w="200"/>
            </w:tcMar>
          </w:tcPr>
          <w:p>
            <w:r>
              <w:rPr>
                <w:sz w:val="20"/>
                <w:szCs w:val="20"/>
              </w:rPr>
              <w:t>Nghiên cứu trên 17.093 tổ hợp sản phẩm–cửa hàng tại 27 cửa hàng thật cho thấy FCC giải thích được 42% biến động của lãng phí hàng hoá — đây là bằng chứng thực nghiệm mạnh cho một chỉ số rất đơn giản, phù hợp dùng làm KPI phụ trợ khi trình bày kết quả.</w:t>
            </w:r>
          </w:p>
        </w:tc>
      </w:tr>
      <w:tr>
        <w:trPr>
          <w:cantSplit/>
        </w:trPr>
        <w:tc>
          <w:tcPr>
            <w:tcW w:type="dxa" w:w="2400"/>
            <w:shd w:fill="FFFFFF" w:val="clear"/>
            <w:tcMar>
              <w:top w:type="dxa" w:w="100"/>
              <w:left w:type="dxa" w:w="200"/>
              <w:bottom w:type="dxa" w:w="100"/>
              <w:right w:type="dxa" w:w="120"/>
            </w:tcMar>
          </w:tcPr>
          <w:p>
            <w:r>
              <w:rPr>
                <w:b/>
                <w:bCs/>
                <w:color w:val="2E5395"/>
                <w:sz w:val="19"/>
                <w:szCs w:val="19"/>
              </w:rPr>
              <w:t>Giới hạn / không được claim</w:t>
            </w:r>
          </w:p>
        </w:tc>
        <w:tc>
          <w:tcPr>
            <w:tcW w:type="dxa" w:w="7346"/>
            <w:shd w:fill="FFFFFF" w:val="clear"/>
            <w:tcMar>
              <w:top w:type="dxa" w:w="100"/>
              <w:left w:type="dxa" w:w="120"/>
              <w:bottom w:type="dxa" w:w="100"/>
              <w:right w:type="dxa" w:w="200"/>
            </w:tcMar>
          </w:tcPr>
          <w:p>
            <w:r>
              <w:rPr>
                <w:sz w:val="20"/>
                <w:szCs w:val="20"/>
              </w:rPr>
              <w:t>Không dùng làm công cụ ra quyết định chính, và không dùng được cho nhà bán lẻ chưa có lịch sử bán hàng (cold-start) vì cần μ (doanh số trung bình) đã biết.</w:t>
            </w:r>
          </w:p>
        </w:tc>
      </w:tr>
    </w:tbl>
    <w:p>
      <w:pPr>
        <w:spacing w:after="120"/>
      </w:pPr>
    </w:p>
    <w:p>
      <w:pPr>
        <w:pStyle w:val="Heading1"/>
        <w:spacing w:after="160" w:before="360"/>
      </w:pPr>
      <w:r>
        <w:rPr>
          <w:b/>
          <w:bCs/>
          <w:color w:val="1F3864"/>
          <w:sz w:val="30"/>
          <w:szCs w:val="30"/>
        </w:rPr>
        <w:t>4. VÍ DỤ SỐ MINH HOẠ — ĐƠN HÀNG TẠI QUẬN 12</w:t>
      </w:r>
    </w:p>
    <w:tbl>
      <w:tblPr>
        <w:tblW w:type="dxa" w:w="9746"/>
        <w:tblBorders>
          <w:top w:val="single" w:color="9C5700" w:sz="4"/>
          <w:left w:val="single" w:color="9C5700" w:sz="24"/>
          <w:bottom w:val="single" w:color="9C5700" w:sz="4"/>
          <w:right w:val="single" w:color="9C5700" w:sz="4"/>
          <w:insideH w:val="none"/>
          <w:insideV w:val="none"/>
        </w:tblBorders>
        <w:tblLayout w:type="fixed"/>
      </w:tblPr>
      <w:tblGrid>
        <w:gridCol w:w="9746"/>
      </w:tblGrid>
      <w:tr>
        <w:trPr>
          <w:cantSplit/>
        </w:trPr>
        <w:tc>
          <w:tcPr>
            <w:tcW w:type="dxa" w:w="9746"/>
            <w:shd w:fill="FFFFFF" w:val="clear"/>
            <w:tcMar>
              <w:top w:type="dxa" w:w="120"/>
              <w:left w:type="dxa" w:w="220"/>
              <w:bottom w:type="dxa" w:w="120"/>
              <w:right w:type="dxa" w:w="200"/>
            </w:tcMar>
          </w:tcPr>
          <w:p>
            <w:pPr>
              <w:spacing w:after="60"/>
            </w:pPr>
            <w:r>
              <w:rPr>
                <w:b/>
                <w:bCs/>
                <w:color w:val="9C5700"/>
                <w:sz w:val="21"/>
                <w:szCs w:val="21"/>
              </w:rPr>
              <w:t>Lưu ý</w:t>
            </w:r>
          </w:p>
          <w:p>
            <w:r>
              <w:rPr>
                <w:sz w:val="21"/>
                <w:szCs w:val="21"/>
              </w:rPr>
              <w:t>Toạ độ, tên kho, số lô và hạn sử dụng dưới đây là DỮ LIỆU GIẢ ĐỊNH (synthetic) dùng để minh hoạ cách các công thức ở Mục 3 phối hợp với nhau — không phải dữ liệu vận hành thực tế. Khi hoàn thiện khoá luận, thay bằng toạ độ kho thật và dữ liệu lô hàng thật, giữ nguyên công thức và trình tự tính toán.</w:t>
            </w:r>
          </w:p>
        </w:tc>
      </w:tr>
    </w:tbl>
    <w:p>
      <w:pPr>
        <w:spacing w:after="100"/>
      </w:pPr>
    </w:p>
    <w:p>
      <w:pPr>
        <w:spacing w:after="140" w:line="300"/>
      </w:pPr>
      <w:r>
        <w:rPr>
          <w:sz w:val="22"/>
          <w:szCs w:val="22"/>
        </w:rPr>
        <w:t>Một nhà bán lẻ tại Quận 12 (TP.HCM) đặt 100 thùng sữa SKU X. Ví dụ giả định có 3 kho ứng viên.</w:t>
      </w:r>
    </w:p>
    <w:p>
      <w:pPr>
        <w:pStyle w:val="Heading2"/>
        <w:spacing w:after="120" w:before="260"/>
      </w:pPr>
      <w:r>
        <w:rPr>
          <w:b/>
          <w:bCs/>
          <w:color w:val="2E5395"/>
          <w:sz w:val="25"/>
          <w:szCs w:val="25"/>
        </w:rPr>
        <w:t>Bước F — Sàng lọc theo Haversine (Mô hình 10)</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3200"/>
        <w:gridCol w:w="2600"/>
      </w:tblGrid>
      <w:tr>
        <w:trPr>
          <w:tblHeader/>
          <w:cantSplit/>
          <w:tblHeader w:val="true"/>
        </w:trPr>
        <w:tc>
          <w:tcPr>
            <w:tcW w:type="dxa" w:w="3600"/>
            <w:shd w:fill="1F3864" w:val="clear"/>
            <w:tcMar>
              <w:top w:type="dxa" w:w="100"/>
              <w:left w:type="dxa" w:w="120"/>
              <w:bottom w:type="dxa" w:w="100"/>
              <w:right w:type="dxa" w:w="120"/>
            </w:tcMar>
          </w:tcPr>
          <w:p>
            <w:r>
              <w:rPr>
                <w:b/>
                <w:bCs/>
                <w:color w:val="FFFFFF"/>
                <w:sz w:val="20"/>
                <w:szCs w:val="20"/>
              </w:rPr>
              <w:t>Kho (minh hoạ)</w:t>
            </w:r>
          </w:p>
        </w:tc>
        <w:tc>
          <w:tcPr>
            <w:tcW w:type="dxa" w:w="3200"/>
            <w:shd w:fill="1F3864" w:val="clear"/>
            <w:tcMar>
              <w:top w:type="dxa" w:w="100"/>
              <w:left w:type="dxa" w:w="120"/>
              <w:bottom w:type="dxa" w:w="100"/>
              <w:right w:type="dxa" w:w="120"/>
            </w:tcMar>
          </w:tcPr>
          <w:p>
            <w:r>
              <w:rPr>
                <w:b/>
                <w:bCs/>
                <w:color w:val="FFFFFF"/>
                <w:sz w:val="20"/>
                <w:szCs w:val="20"/>
              </w:rPr>
              <w:t>Khoảng cách Haversine tới Quận 12</w:t>
            </w:r>
          </w:p>
        </w:tc>
        <w:tc>
          <w:tcPr>
            <w:tcW w:type="dxa" w:w="2600"/>
            <w:shd w:fill="1F3864" w:val="clear"/>
            <w:tcMar>
              <w:top w:type="dxa" w:w="100"/>
              <w:left w:type="dxa" w:w="120"/>
              <w:bottom w:type="dxa" w:w="100"/>
              <w:right w:type="dxa" w:w="120"/>
            </w:tcMar>
          </w:tcPr>
          <w:p>
            <w:r>
              <w:rPr>
                <w:b/>
                <w:bCs/>
                <w:color w:val="FFFFFF"/>
                <w:sz w:val="20"/>
                <w:szCs w:val="20"/>
              </w:rPr>
              <w:t>Lọt vào top-k=3?</w:t>
            </w:r>
          </w:p>
        </w:tc>
      </w:tr>
      <w:tr>
        <w:trPr>
          <w:cantSplit/>
        </w:trPr>
        <w:tc>
          <w:tcPr>
            <w:tcW w:type="dxa" w:w="3600"/>
            <w:tcMar>
              <w:top w:type="dxa" w:w="100"/>
              <w:left w:type="dxa" w:w="120"/>
              <w:bottom w:type="dxa" w:w="100"/>
              <w:right w:type="dxa" w:w="120"/>
            </w:tcMar>
          </w:tcPr>
          <w:p>
            <w:pPr>
              <w:jc w:val="left"/>
            </w:pPr>
            <w:r>
              <w:rPr>
                <w:b w:val="false"/>
                <w:bCs w:val="false"/>
                <w:sz w:val="20"/>
                <w:szCs w:val="20"/>
              </w:rPr>
              <w:t>Kho A (khu vực Đông Bắc TP.HCM)</w:t>
            </w:r>
          </w:p>
        </w:tc>
        <w:tc>
          <w:tcPr>
            <w:tcW w:type="dxa" w:w="3200"/>
            <w:tcMar>
              <w:top w:type="dxa" w:w="100"/>
              <w:left w:type="dxa" w:w="120"/>
              <w:bottom w:type="dxa" w:w="100"/>
              <w:right w:type="dxa" w:w="120"/>
            </w:tcMar>
          </w:tcPr>
          <w:p>
            <w:pPr>
              <w:jc w:val="left"/>
            </w:pPr>
            <w:r>
              <w:rPr>
                <w:b w:val="false"/>
                <w:bCs w:val="false"/>
                <w:sz w:val="20"/>
                <w:szCs w:val="20"/>
              </w:rPr>
              <w:t>≈ 10,75 km</w:t>
            </w:r>
          </w:p>
        </w:tc>
        <w:tc>
          <w:tcPr>
            <w:tcW w:type="dxa" w:w="2600"/>
            <w:tcMar>
              <w:top w:type="dxa" w:w="100"/>
              <w:left w:type="dxa" w:w="120"/>
              <w:bottom w:type="dxa" w:w="100"/>
              <w:right w:type="dxa" w:w="120"/>
            </w:tcMar>
          </w:tcPr>
          <w:p>
            <w:pPr>
              <w:jc w:val="left"/>
            </w:pPr>
            <w:r>
              <w:rPr>
                <w:b w:val="false"/>
                <w:bCs w:val="false"/>
                <w:sz w:val="20"/>
                <w:szCs w:val="20"/>
              </w:rPr>
              <w:t>Có</w:t>
            </w:r>
          </w:p>
        </w:tc>
      </w:tr>
      <w:tr>
        <w:trPr>
          <w:cantSplit/>
        </w:trPr>
        <w:tc>
          <w:tcPr>
            <w:tcW w:type="dxa" w:w="3600"/>
            <w:shd w:fill="F2F2F2" w:val="clear"/>
            <w:tcMar>
              <w:top w:type="dxa" w:w="100"/>
              <w:left w:type="dxa" w:w="120"/>
              <w:bottom w:type="dxa" w:w="100"/>
              <w:right w:type="dxa" w:w="120"/>
            </w:tcMar>
          </w:tcPr>
          <w:p>
            <w:pPr>
              <w:jc w:val="left"/>
            </w:pPr>
            <w:r>
              <w:rPr>
                <w:b w:val="false"/>
                <w:bCs w:val="false"/>
                <w:sz w:val="20"/>
                <w:szCs w:val="20"/>
              </w:rPr>
              <w:t>Kho B (khu vực Tây Nam TP.HCM)</w:t>
            </w:r>
          </w:p>
        </w:tc>
        <w:tc>
          <w:tcPr>
            <w:tcW w:type="dxa" w:w="3200"/>
            <w:shd w:fill="F2F2F2" w:val="clear"/>
            <w:tcMar>
              <w:top w:type="dxa" w:w="100"/>
              <w:left w:type="dxa" w:w="120"/>
              <w:bottom w:type="dxa" w:w="100"/>
              <w:right w:type="dxa" w:w="120"/>
            </w:tcMar>
          </w:tcPr>
          <w:p>
            <w:pPr>
              <w:jc w:val="left"/>
            </w:pPr>
            <w:r>
              <w:rPr>
                <w:b w:val="false"/>
                <w:bCs w:val="false"/>
                <w:sz w:val="20"/>
                <w:szCs w:val="20"/>
              </w:rPr>
              <w:t>≈ 13,89 km</w:t>
            </w:r>
          </w:p>
        </w:tc>
        <w:tc>
          <w:tcPr>
            <w:tcW w:type="dxa" w:w="2600"/>
            <w:shd w:fill="F2F2F2" w:val="clear"/>
            <w:tcMar>
              <w:top w:type="dxa" w:w="100"/>
              <w:left w:type="dxa" w:w="120"/>
              <w:bottom w:type="dxa" w:w="100"/>
              <w:right w:type="dxa" w:w="120"/>
            </w:tcMar>
          </w:tcPr>
          <w:p>
            <w:pPr>
              <w:jc w:val="left"/>
            </w:pPr>
            <w:r>
              <w:rPr>
                <w:b w:val="false"/>
                <w:bCs w:val="false"/>
                <w:sz w:val="20"/>
                <w:szCs w:val="20"/>
              </w:rPr>
              <w:t>Có</w:t>
            </w:r>
          </w:p>
        </w:tc>
      </w:tr>
      <w:tr>
        <w:trPr>
          <w:cantSplit/>
        </w:trPr>
        <w:tc>
          <w:tcPr>
            <w:tcW w:type="dxa" w:w="3600"/>
            <w:tcMar>
              <w:top w:type="dxa" w:w="100"/>
              <w:left w:type="dxa" w:w="120"/>
              <w:bottom w:type="dxa" w:w="100"/>
              <w:right w:type="dxa" w:w="120"/>
            </w:tcMar>
          </w:tcPr>
          <w:p>
            <w:pPr>
              <w:jc w:val="left"/>
            </w:pPr>
            <w:r>
              <w:rPr>
                <w:b w:val="false"/>
                <w:bCs w:val="false"/>
                <w:sz w:val="20"/>
                <w:szCs w:val="20"/>
              </w:rPr>
              <w:t>Kho C (khu vực Tây Bắc, giáp Củ Chi)</w:t>
            </w:r>
          </w:p>
        </w:tc>
        <w:tc>
          <w:tcPr>
            <w:tcW w:type="dxa" w:w="3200"/>
            <w:tcMar>
              <w:top w:type="dxa" w:w="100"/>
              <w:left w:type="dxa" w:w="120"/>
              <w:bottom w:type="dxa" w:w="100"/>
              <w:right w:type="dxa" w:w="120"/>
            </w:tcMar>
          </w:tcPr>
          <w:p>
            <w:pPr>
              <w:jc w:val="left"/>
            </w:pPr>
            <w:r>
              <w:rPr>
                <w:b w:val="false"/>
                <w:bCs w:val="false"/>
                <w:sz w:val="20"/>
                <w:szCs w:val="20"/>
              </w:rPr>
              <w:t>≈ 21,74 km</w:t>
            </w:r>
          </w:p>
        </w:tc>
        <w:tc>
          <w:tcPr>
            <w:tcW w:type="dxa" w:w="2600"/>
            <w:tcMar>
              <w:top w:type="dxa" w:w="100"/>
              <w:left w:type="dxa" w:w="120"/>
              <w:bottom w:type="dxa" w:w="100"/>
              <w:right w:type="dxa" w:w="120"/>
            </w:tcMar>
          </w:tcPr>
          <w:p>
            <w:pPr>
              <w:jc w:val="left"/>
            </w:pPr>
            <w:r>
              <w:rPr>
                <w:b w:val="false"/>
                <w:bCs w:val="false"/>
                <w:sz w:val="20"/>
                <w:szCs w:val="20"/>
              </w:rPr>
              <w:t>Có (k=3=tất cả trong ví dụ này)</w:t>
            </w:r>
          </w:p>
        </w:tc>
      </w:tr>
    </w:tbl>
    <w:p>
      <w:pPr>
        <w:spacing w:after="100"/>
      </w:pPr>
    </w:p>
    <w:p>
      <w:pPr>
        <w:pStyle w:val="Heading2"/>
        <w:spacing w:after="120" w:before="260"/>
      </w:pPr>
      <w:r>
        <w:rPr>
          <w:b/>
          <w:bCs/>
          <w:color w:val="2E5395"/>
          <w:sz w:val="25"/>
          <w:szCs w:val="25"/>
        </w:rPr>
        <w:t>Bước G — Chi phí đường bộ thực tế bằng Dijkstra (Mô hình 11)</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5400"/>
      </w:tblGrid>
      <w:tr>
        <w:trPr>
          <w:tblHeader/>
          <w:cantSplit/>
          <w:tblHeader w:val="true"/>
        </w:trPr>
        <w:tc>
          <w:tcPr>
            <w:tcW w:type="dxa" w:w="3600"/>
            <w:shd w:fill="1F3864" w:val="clear"/>
            <w:tcMar>
              <w:top w:type="dxa" w:w="100"/>
              <w:left w:type="dxa" w:w="120"/>
              <w:bottom w:type="dxa" w:w="100"/>
              <w:right w:type="dxa" w:w="120"/>
            </w:tcMar>
          </w:tcPr>
          <w:p>
            <w:r>
              <w:rPr>
                <w:b/>
                <w:bCs/>
                <w:color w:val="FFFFFF"/>
                <w:sz w:val="20"/>
                <w:szCs w:val="20"/>
              </w:rPr>
              <w:t>Kho</w:t>
            </w:r>
          </w:p>
        </w:tc>
        <w:tc>
          <w:tcPr>
            <w:tcW w:type="dxa" w:w="5400"/>
            <w:shd w:fill="1F3864" w:val="clear"/>
            <w:tcMar>
              <w:top w:type="dxa" w:w="100"/>
              <w:left w:type="dxa" w:w="120"/>
              <w:bottom w:type="dxa" w:w="100"/>
              <w:right w:type="dxa" w:w="120"/>
            </w:tcMar>
          </w:tcPr>
          <w:p>
            <w:r>
              <w:rPr>
                <w:b/>
                <w:bCs/>
                <w:color w:val="FFFFFF"/>
                <w:sz w:val="20"/>
                <w:szCs w:val="20"/>
              </w:rPr>
              <w:t>Thời gian vận chuyển Tⱼ (ước lượng)</w:t>
            </w:r>
          </w:p>
        </w:tc>
      </w:tr>
      <w:tr>
        <w:trPr>
          <w:cantSplit/>
        </w:trPr>
        <w:tc>
          <w:tcPr>
            <w:tcW w:type="dxa" w:w="3600"/>
            <w:tcMar>
              <w:top w:type="dxa" w:w="100"/>
              <w:left w:type="dxa" w:w="120"/>
              <w:bottom w:type="dxa" w:w="100"/>
              <w:right w:type="dxa" w:w="120"/>
            </w:tcMar>
          </w:tcPr>
          <w:p>
            <w:pPr>
              <w:jc w:val="left"/>
            </w:pPr>
            <w:r>
              <w:rPr>
                <w:b w:val="false"/>
                <w:bCs w:val="false"/>
                <w:sz w:val="20"/>
                <w:szCs w:val="20"/>
              </w:rPr>
              <w:t>Kho A</w:t>
            </w:r>
          </w:p>
        </w:tc>
        <w:tc>
          <w:tcPr>
            <w:tcW w:type="dxa" w:w="5400"/>
            <w:tcMar>
              <w:top w:type="dxa" w:w="100"/>
              <w:left w:type="dxa" w:w="120"/>
              <w:bottom w:type="dxa" w:w="100"/>
              <w:right w:type="dxa" w:w="120"/>
            </w:tcMar>
          </w:tcPr>
          <w:p>
            <w:pPr>
              <w:jc w:val="left"/>
            </w:pPr>
            <w:r>
              <w:rPr>
                <w:b w:val="false"/>
                <w:bCs w:val="false"/>
                <w:sz w:val="20"/>
                <w:szCs w:val="20"/>
              </w:rPr>
              <w:t>≈ 0,5 ngày (giao trong buổi)</w:t>
            </w:r>
          </w:p>
        </w:tc>
      </w:tr>
      <w:tr>
        <w:trPr>
          <w:cantSplit/>
        </w:trPr>
        <w:tc>
          <w:tcPr>
            <w:tcW w:type="dxa" w:w="3600"/>
            <w:shd w:fill="F2F2F2" w:val="clear"/>
            <w:tcMar>
              <w:top w:type="dxa" w:w="100"/>
              <w:left w:type="dxa" w:w="120"/>
              <w:bottom w:type="dxa" w:w="100"/>
              <w:right w:type="dxa" w:w="120"/>
            </w:tcMar>
          </w:tcPr>
          <w:p>
            <w:pPr>
              <w:jc w:val="left"/>
            </w:pPr>
            <w:r>
              <w:rPr>
                <w:b w:val="false"/>
                <w:bCs w:val="false"/>
                <w:sz w:val="20"/>
                <w:szCs w:val="20"/>
              </w:rPr>
              <w:t>Kho B</w:t>
            </w:r>
          </w:p>
        </w:tc>
        <w:tc>
          <w:tcPr>
            <w:tcW w:type="dxa" w:w="5400"/>
            <w:shd w:fill="F2F2F2" w:val="clear"/>
            <w:tcMar>
              <w:top w:type="dxa" w:w="100"/>
              <w:left w:type="dxa" w:w="120"/>
              <w:bottom w:type="dxa" w:w="100"/>
              <w:right w:type="dxa" w:w="120"/>
            </w:tcMar>
          </w:tcPr>
          <w:p>
            <w:pPr>
              <w:jc w:val="left"/>
            </w:pPr>
            <w:r>
              <w:rPr>
                <w:b w:val="false"/>
                <w:bCs w:val="false"/>
                <w:sz w:val="20"/>
                <w:szCs w:val="20"/>
              </w:rPr>
              <w:t>≈ 0,7 ngày</w:t>
            </w:r>
          </w:p>
        </w:tc>
      </w:tr>
      <w:tr>
        <w:trPr>
          <w:cantSplit/>
        </w:trPr>
        <w:tc>
          <w:tcPr>
            <w:tcW w:type="dxa" w:w="3600"/>
            <w:tcMar>
              <w:top w:type="dxa" w:w="100"/>
              <w:left w:type="dxa" w:w="120"/>
              <w:bottom w:type="dxa" w:w="100"/>
              <w:right w:type="dxa" w:w="120"/>
            </w:tcMar>
          </w:tcPr>
          <w:p>
            <w:pPr>
              <w:jc w:val="left"/>
            </w:pPr>
            <w:r>
              <w:rPr>
                <w:b w:val="false"/>
                <w:bCs w:val="false"/>
                <w:sz w:val="20"/>
                <w:szCs w:val="20"/>
              </w:rPr>
              <w:t>Kho C</w:t>
            </w:r>
          </w:p>
        </w:tc>
        <w:tc>
          <w:tcPr>
            <w:tcW w:type="dxa" w:w="5400"/>
            <w:tcMar>
              <w:top w:type="dxa" w:w="100"/>
              <w:left w:type="dxa" w:w="120"/>
              <w:bottom w:type="dxa" w:w="100"/>
              <w:right w:type="dxa" w:w="120"/>
            </w:tcMar>
          </w:tcPr>
          <w:p>
            <w:pPr>
              <w:jc w:val="left"/>
            </w:pPr>
            <w:r>
              <w:rPr>
                <w:b w:val="false"/>
                <w:bCs w:val="false"/>
                <w:sz w:val="20"/>
                <w:szCs w:val="20"/>
              </w:rPr>
              <w:t>≈ 1,0 ngày</w:t>
            </w:r>
          </w:p>
        </w:tc>
      </w:tr>
    </w:tbl>
    <w:p>
      <w:pPr>
        <w:spacing w:after="100"/>
      </w:pPr>
    </w:p>
    <w:p>
      <w:r>
        <w:rPr>
          <w:b/>
          <w:sz w:val="20"/>
        </w:rPr>
        <w:t>Bước D+E — Kiểm tra khả thi bằng Mô hình 7 (Mô hình 8 là nền tảng) rồi FEFO (Mô hình 9)</w:t>
      </w:r>
    </w:p>
    <w:p>
      <w:r>
        <w:rPr>
          <w:b w:val="0"/>
          <w:sz w:val="18"/>
        </w:rPr>
        <w:t>Nhà bán lẻ này đặt hàng theo chu kỳ tuần. Trong ví dụ SYNTHETIC này, Sales kiểm tra stock-on-hand và cùng retailer xác nhận shipment hiện tại được lập kế hoạch để tiêu thụ trong Cⱼ = 7 ngày. Cⱼ = 7 là giả định minh hoạ đã được con người xác nhận, KHÔNG phải quy tắc “review period 7 ngày ⇒ consumption time luôn bằng 7 ngày”. Giả sử contractual MLORⱼ = 3 ngày và Consumer Min-RSL_target = 2 ngày. Con số 2 ngày chỉ nhằm minh hoạ một positive freshness target; bản triển khai thật phải lấy target theo policy/marketing model phù hợp.</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1300"/>
        <w:gridCol w:w="1900"/>
        <w:gridCol w:w="2100"/>
        <w:gridCol w:w="2300"/>
        <w:gridCol w:w="1500"/>
      </w:tblGrid>
      <w:tr>
        <w:trPr>
          <w:tblHeader/>
          <w:cantSplit/>
          <w:tblHeader w:val="true"/>
        </w:trPr>
        <w:tc>
          <w:tcPr>
            <w:tcW w:type="dxa" w:w="700"/>
            <w:shd w:fill="1F3864" w:val="clear"/>
            <w:tcMar>
              <w:top w:type="dxa" w:w="100"/>
              <w:left w:type="dxa" w:w="120"/>
              <w:bottom w:type="dxa" w:w="100"/>
              <w:right w:type="dxa" w:w="120"/>
            </w:tcMar>
          </w:tcPr>
          <w:p>
            <w:r>
              <w:rPr>
                <w:b/>
                <w:bCs/>
                <w:color w:val="FFFFFF"/>
                <w:sz w:val="20"/>
                <w:szCs w:val="20"/>
              </w:rPr>
              <w:t>Lô</w:t>
            </w:r>
          </w:p>
        </w:tc>
        <w:tc>
          <w:tcPr>
            <w:tcW w:type="dxa" w:w="1300"/>
            <w:shd w:fill="1F3864" w:val="clear"/>
            <w:tcMar>
              <w:top w:type="dxa" w:w="100"/>
              <w:left w:type="dxa" w:w="120"/>
              <w:bottom w:type="dxa" w:w="100"/>
              <w:right w:type="dxa" w:w="120"/>
            </w:tcMar>
          </w:tcPr>
          <w:p>
            <w:r>
              <w:rPr>
                <w:b/>
                <w:bCs/>
                <w:color w:val="FFFFFF"/>
                <w:sz w:val="20"/>
                <w:szCs w:val="20"/>
              </w:rPr>
              <w:t>Kho chứa</w:t>
            </w:r>
          </w:p>
        </w:tc>
        <w:tc>
          <w:tcPr>
            <w:tcW w:type="dxa" w:w="1900"/>
            <w:shd w:fill="1F3864" w:val="clear"/>
            <w:tcMar>
              <w:top w:type="dxa" w:w="100"/>
              <w:left w:type="dxa" w:w="120"/>
              <w:bottom w:type="dxa" w:w="100"/>
              <w:right w:type="dxa" w:w="120"/>
            </w:tcMar>
          </w:tcPr>
          <w:p>
            <w:r>
              <w:rPr>
                <w:b/>
                <w:bCs/>
                <w:color w:val="FFFFFF"/>
                <w:sz w:val="20"/>
                <w:szCs w:val="20"/>
              </w:rPr>
              <w:t>Hạn sử dụng còn lại Sᵢ</w:t>
            </w:r>
          </w:p>
        </w:tc>
        <w:tc>
          <w:tcPr>
            <w:tcW w:type="dxa" w:w="2100"/>
            <w:shd w:fill="1F3864" w:val="clear"/>
            <w:tcMar>
              <w:top w:type="dxa" w:w="100"/>
              <w:left w:type="dxa" w:w="120"/>
              <w:bottom w:type="dxa" w:w="100"/>
              <w:right w:type="dxa" w:w="120"/>
            </w:tcMar>
          </w:tcPr>
          <w:p>
            <w:r>
              <w:rPr>
                <w:b/>
                <w:bCs/>
                <w:color w:val="FFFFFF"/>
                <w:sz w:val="20"/>
                <w:szCs w:val="20"/>
              </w:rPr>
              <w:t>Sᵢ − Tⱼ (kiểm tra MLOR)</w:t>
            </w:r>
          </w:p>
        </w:tc>
        <w:tc>
          <w:tcPr>
            <w:tcW w:type="dxa" w:w="2300"/>
            <w:shd w:fill="1F3864" w:val="clear"/>
            <w:tcMar>
              <w:top w:type="dxa" w:w="100"/>
              <w:left w:type="dxa" w:w="120"/>
              <w:bottom w:type="dxa" w:w="100"/>
              <w:right w:type="dxa" w:w="120"/>
            </w:tcMar>
          </w:tcPr>
          <w:p>
            <w:r>
              <w:rPr>
                <w:b/>
                <w:bCs/>
                <w:color w:val="FFFFFF"/>
                <w:sz w:val="20"/>
                <w:szCs w:val="20"/>
              </w:rPr>
              <w:t>Sᵢ − Tⱼ − Cⱼ (kiểm tra Min-RSL)</w:t>
            </w:r>
          </w:p>
        </w:tc>
        <w:tc>
          <w:tcPr>
            <w:tcW w:type="dxa" w:w="1500"/>
            <w:shd w:fill="1F3864" w:val="clear"/>
            <w:tcMar>
              <w:top w:type="dxa" w:w="100"/>
              <w:left w:type="dxa" w:w="120"/>
              <w:bottom w:type="dxa" w:w="100"/>
              <w:right w:type="dxa" w:w="120"/>
            </w:tcMar>
          </w:tcPr>
          <w:p>
            <w:r>
              <w:rPr>
                <w:b/>
                <w:bCs/>
                <w:color w:val="FFFFFF"/>
                <w:sz w:val="20"/>
                <w:szCs w:val="20"/>
              </w:rPr>
              <w:t>Kết luận</w:t>
            </w:r>
          </w:p>
        </w:tc>
      </w:tr>
      <w:tr>
        <w:trPr>
          <w:cantSplit/>
        </w:trPr>
        <w:tc>
          <w:tcPr>
            <w:tcW w:type="dxa" w:w="700"/>
            <w:tcMar>
              <w:top w:type="dxa" w:w="100"/>
              <w:left w:type="dxa" w:w="120"/>
              <w:bottom w:type="dxa" w:w="100"/>
              <w:right w:type="dxa" w:w="120"/>
            </w:tcMar>
          </w:tcPr>
          <w:p>
            <w:pPr>
              <w:jc w:val="left"/>
            </w:pPr>
            <w:r>
              <w:rPr>
                <w:b w:val="false"/>
                <w:bCs w:val="false"/>
                <w:sz w:val="20"/>
                <w:szCs w:val="20"/>
              </w:rPr>
              <w:t>Lô 1</w:t>
            </w:r>
          </w:p>
        </w:tc>
        <w:tc>
          <w:tcPr>
            <w:tcW w:type="dxa" w:w="1300"/>
            <w:tcMar>
              <w:top w:type="dxa" w:w="100"/>
              <w:left w:type="dxa" w:w="120"/>
              <w:bottom w:type="dxa" w:w="100"/>
              <w:right w:type="dxa" w:w="120"/>
            </w:tcMar>
          </w:tcPr>
          <w:p>
            <w:pPr>
              <w:jc w:val="left"/>
            </w:pPr>
            <w:r>
              <w:rPr>
                <w:b w:val="false"/>
                <w:bCs w:val="false"/>
                <w:sz w:val="20"/>
                <w:szCs w:val="20"/>
              </w:rPr>
              <w:t>Kho A</w:t>
            </w:r>
          </w:p>
        </w:tc>
        <w:tc>
          <w:tcPr>
            <w:tcW w:type="dxa" w:w="1900"/>
            <w:tcMar>
              <w:top w:type="dxa" w:w="100"/>
              <w:left w:type="dxa" w:w="120"/>
              <w:bottom w:type="dxa" w:w="100"/>
              <w:right w:type="dxa" w:w="120"/>
            </w:tcMar>
          </w:tcPr>
          <w:p>
            <w:pPr>
              <w:jc w:val="left"/>
            </w:pPr>
            <w:r>
              <w:rPr>
                <w:b w:val="false"/>
                <w:bCs w:val="false"/>
                <w:sz w:val="20"/>
                <w:szCs w:val="20"/>
              </w:rPr>
              <w:t>10 ngày</w:t>
            </w:r>
          </w:p>
        </w:tc>
        <w:tc>
          <w:tcPr>
            <w:tcW w:type="dxa" w:w="2100"/>
            <w:tcMar>
              <w:top w:type="dxa" w:w="100"/>
              <w:left w:type="dxa" w:w="120"/>
              <w:bottom w:type="dxa" w:w="100"/>
              <w:right w:type="dxa" w:w="120"/>
            </w:tcMar>
          </w:tcPr>
          <w:p>
            <w:pPr>
              <w:jc w:val="left"/>
            </w:pPr>
            <w:r>
              <w:rPr>
                <w:b w:val="false"/>
                <w:bCs w:val="false"/>
                <w:sz w:val="20"/>
                <w:szCs w:val="20"/>
              </w:rPr>
              <w:t>9,5 ngày ≥ 3 → đạt</w:t>
            </w:r>
          </w:p>
        </w:tc>
        <w:tc>
          <w:tcPr>
            <w:tcW w:type="dxa" w:w="2300"/>
            <w:tcMar>
              <w:top w:type="dxa" w:w="100"/>
              <w:left w:type="dxa" w:w="120"/>
              <w:bottom w:type="dxa" w:w="100"/>
              <w:right w:type="dxa" w:w="120"/>
            </w:tcMar>
            <w:vAlign w:val="center"/>
          </w:tcPr>
          <w:p>
            <w:pPr>
              <w:spacing w:before="0" w:after="0"/>
            </w:pPr>
            <w:r>
              <w:rPr>
                <w:b w:val="0"/>
                <w:sz w:val="16"/>
              </w:rPr>
              <w:t>2,5 ≥ 2 → đạt</w:t>
            </w:r>
          </w:p>
        </w:tc>
        <w:tc>
          <w:tcPr>
            <w:tcW w:type="dxa" w:w="1500"/>
            <w:tcMar>
              <w:top w:type="dxa" w:w="100"/>
              <w:left w:type="dxa" w:w="120"/>
              <w:bottom w:type="dxa" w:w="100"/>
              <w:right w:type="dxa" w:w="120"/>
            </w:tcMar>
          </w:tcPr>
          <w:p>
            <w:pPr>
              <w:jc w:val="left"/>
            </w:pPr>
            <w:r>
              <w:rPr>
                <w:b w:val="false"/>
                <w:bCs w:val="false"/>
                <w:sz w:val="20"/>
                <w:szCs w:val="20"/>
              </w:rPr>
              <w:t>HỢP LỆ</w:t>
            </w:r>
          </w:p>
        </w:tc>
      </w:tr>
      <w:tr>
        <w:trPr>
          <w:cantSplit/>
        </w:trPr>
        <w:tc>
          <w:tcPr>
            <w:tcW w:type="dxa" w:w="700"/>
            <w:shd w:fill="F2F2F2" w:val="clear"/>
            <w:tcMar>
              <w:top w:type="dxa" w:w="100"/>
              <w:left w:type="dxa" w:w="120"/>
              <w:bottom w:type="dxa" w:w="100"/>
              <w:right w:type="dxa" w:w="120"/>
            </w:tcMar>
          </w:tcPr>
          <w:p>
            <w:pPr>
              <w:jc w:val="left"/>
            </w:pPr>
            <w:r>
              <w:rPr>
                <w:b w:val="false"/>
                <w:bCs w:val="false"/>
                <w:sz w:val="20"/>
                <w:szCs w:val="20"/>
              </w:rPr>
              <w:t>Lô 2</w:t>
            </w:r>
          </w:p>
        </w:tc>
        <w:tc>
          <w:tcPr>
            <w:tcW w:type="dxa" w:w="1300"/>
            <w:shd w:fill="F2F2F2" w:val="clear"/>
            <w:tcMar>
              <w:top w:type="dxa" w:w="100"/>
              <w:left w:type="dxa" w:w="120"/>
              <w:bottom w:type="dxa" w:w="100"/>
              <w:right w:type="dxa" w:w="120"/>
            </w:tcMar>
          </w:tcPr>
          <w:p>
            <w:pPr>
              <w:jc w:val="left"/>
            </w:pPr>
            <w:r>
              <w:rPr>
                <w:b w:val="false"/>
                <w:bCs w:val="false"/>
                <w:sz w:val="20"/>
                <w:szCs w:val="20"/>
              </w:rPr>
              <w:t>Kho B</w:t>
            </w:r>
          </w:p>
        </w:tc>
        <w:tc>
          <w:tcPr>
            <w:tcW w:type="dxa" w:w="1900"/>
            <w:shd w:fill="F2F2F2" w:val="clear"/>
            <w:tcMar>
              <w:top w:type="dxa" w:w="100"/>
              <w:left w:type="dxa" w:w="120"/>
              <w:bottom w:type="dxa" w:w="100"/>
              <w:right w:type="dxa" w:w="120"/>
            </w:tcMar>
          </w:tcPr>
          <w:p>
            <w:pPr>
              <w:jc w:val="left"/>
            </w:pPr>
            <w:r>
              <w:rPr>
                <w:b w:val="false"/>
                <w:bCs w:val="false"/>
                <w:sz w:val="20"/>
                <w:szCs w:val="20"/>
              </w:rPr>
              <w:t>4 ngày (hạn ngắn nhất!)</w:t>
            </w:r>
          </w:p>
        </w:tc>
        <w:tc>
          <w:tcPr>
            <w:tcW w:type="dxa" w:w="2100"/>
            <w:shd w:fill="F2F2F2" w:val="clear"/>
            <w:tcMar>
              <w:top w:type="dxa" w:w="100"/>
              <w:left w:type="dxa" w:w="120"/>
              <w:bottom w:type="dxa" w:w="100"/>
              <w:right w:type="dxa" w:w="120"/>
            </w:tcMar>
          </w:tcPr>
          <w:p>
            <w:pPr>
              <w:jc w:val="left"/>
            </w:pPr>
            <w:r>
              <w:rPr>
                <w:b w:val="false"/>
                <w:bCs w:val="false"/>
                <w:sz w:val="20"/>
                <w:szCs w:val="20"/>
              </w:rPr>
              <w:t>3,3 ngày ≥ 3 → đạt</w:t>
            </w:r>
          </w:p>
        </w:tc>
        <w:tc>
          <w:tcPr>
            <w:tcW w:type="dxa" w:w="2300"/>
            <w:shd w:fill="F2F2F2" w:val="clear"/>
            <w:tcMar>
              <w:top w:type="dxa" w:w="100"/>
              <w:left w:type="dxa" w:w="120"/>
              <w:bottom w:type="dxa" w:w="100"/>
              <w:right w:type="dxa" w:w="120"/>
            </w:tcMar>
            <w:vAlign w:val="center"/>
          </w:tcPr>
          <w:p>
            <w:pPr>
              <w:spacing w:before="0" w:after="0"/>
            </w:pPr>
            <w:r>
              <w:rPr>
                <w:b w:val="0"/>
                <w:sz w:val="16"/>
              </w:rPr>
              <w:t>−3,7 &lt; 2 → KHÔNG đạt</w:t>
            </w:r>
          </w:p>
        </w:tc>
        <w:tc>
          <w:tcPr>
            <w:tcW w:type="dxa" w:w="1500"/>
            <w:shd w:fill="F2F2F2" w:val="clear"/>
            <w:tcMar>
              <w:top w:type="dxa" w:w="100"/>
              <w:left w:type="dxa" w:w="120"/>
              <w:bottom w:type="dxa" w:w="100"/>
              <w:right w:type="dxa" w:w="120"/>
            </w:tcMar>
          </w:tcPr>
          <w:p>
            <w:pPr>
              <w:jc w:val="left"/>
            </w:pPr>
            <w:r>
              <w:rPr>
                <w:b w:val="false"/>
                <w:bCs w:val="false"/>
                <w:sz w:val="20"/>
                <w:szCs w:val="20"/>
              </w:rPr>
              <w:t>BỊ LOẠI dù là lô cần xuất gấp nhất</w:t>
            </w:r>
          </w:p>
        </w:tc>
      </w:tr>
      <w:tr>
        <w:trPr>
          <w:cantSplit/>
        </w:trPr>
        <w:tc>
          <w:tcPr>
            <w:tcW w:type="dxa" w:w="700"/>
            <w:tcMar>
              <w:top w:type="dxa" w:w="100"/>
              <w:left w:type="dxa" w:w="120"/>
              <w:bottom w:type="dxa" w:w="100"/>
              <w:right w:type="dxa" w:w="120"/>
            </w:tcMar>
          </w:tcPr>
          <w:p>
            <w:pPr>
              <w:jc w:val="left"/>
            </w:pPr>
            <w:r>
              <w:rPr>
                <w:b w:val="false"/>
                <w:bCs w:val="false"/>
                <w:sz w:val="20"/>
                <w:szCs w:val="20"/>
              </w:rPr>
              <w:t>Lô 3</w:t>
            </w:r>
          </w:p>
        </w:tc>
        <w:tc>
          <w:tcPr>
            <w:tcW w:type="dxa" w:w="1300"/>
            <w:tcMar>
              <w:top w:type="dxa" w:w="100"/>
              <w:left w:type="dxa" w:w="120"/>
              <w:bottom w:type="dxa" w:w="100"/>
              <w:right w:type="dxa" w:w="120"/>
            </w:tcMar>
          </w:tcPr>
          <w:p>
            <w:pPr>
              <w:jc w:val="left"/>
            </w:pPr>
            <w:r>
              <w:rPr>
                <w:b w:val="false"/>
                <w:bCs w:val="false"/>
                <w:sz w:val="20"/>
                <w:szCs w:val="20"/>
              </w:rPr>
              <w:t>Kho C</w:t>
            </w:r>
          </w:p>
        </w:tc>
        <w:tc>
          <w:tcPr>
            <w:tcW w:type="dxa" w:w="1900"/>
            <w:tcMar>
              <w:top w:type="dxa" w:w="100"/>
              <w:left w:type="dxa" w:w="120"/>
              <w:bottom w:type="dxa" w:w="100"/>
              <w:right w:type="dxa" w:w="120"/>
            </w:tcMar>
          </w:tcPr>
          <w:p>
            <w:pPr>
              <w:jc w:val="left"/>
            </w:pPr>
            <w:r>
              <w:rPr>
                <w:b w:val="false"/>
                <w:bCs w:val="false"/>
                <w:sz w:val="20"/>
                <w:szCs w:val="20"/>
              </w:rPr>
              <w:t>15 ngày</w:t>
            </w:r>
          </w:p>
        </w:tc>
        <w:tc>
          <w:tcPr>
            <w:tcW w:type="dxa" w:w="2100"/>
            <w:tcMar>
              <w:top w:type="dxa" w:w="100"/>
              <w:left w:type="dxa" w:w="120"/>
              <w:bottom w:type="dxa" w:w="100"/>
              <w:right w:type="dxa" w:w="120"/>
            </w:tcMar>
          </w:tcPr>
          <w:p>
            <w:pPr>
              <w:jc w:val="left"/>
            </w:pPr>
            <w:r>
              <w:rPr>
                <w:b w:val="false"/>
                <w:bCs w:val="false"/>
                <w:sz w:val="20"/>
                <w:szCs w:val="20"/>
              </w:rPr>
              <w:t>14 ngày ≥ 3 → đạt</w:t>
            </w:r>
          </w:p>
        </w:tc>
        <w:tc>
          <w:tcPr>
            <w:tcW w:type="dxa" w:w="2300"/>
            <w:tcMar>
              <w:top w:type="dxa" w:w="100"/>
              <w:left w:type="dxa" w:w="120"/>
              <w:bottom w:type="dxa" w:w="100"/>
              <w:right w:type="dxa" w:w="120"/>
            </w:tcMar>
            <w:vAlign w:val="center"/>
          </w:tcPr>
          <w:p>
            <w:pPr>
              <w:spacing w:before="0" w:after="0"/>
            </w:pPr>
            <w:r>
              <w:rPr>
                <w:b w:val="0"/>
                <w:sz w:val="16"/>
              </w:rPr>
              <w:t>7,0 ≥ 2 → đạt</w:t>
            </w:r>
          </w:p>
        </w:tc>
        <w:tc>
          <w:tcPr>
            <w:tcW w:type="dxa" w:w="1500"/>
            <w:tcMar>
              <w:top w:type="dxa" w:w="100"/>
              <w:left w:type="dxa" w:w="120"/>
              <w:bottom w:type="dxa" w:w="100"/>
              <w:right w:type="dxa" w:w="120"/>
            </w:tcMar>
          </w:tcPr>
          <w:p>
            <w:pPr>
              <w:jc w:val="left"/>
            </w:pPr>
            <w:r>
              <w:rPr>
                <w:b w:val="false"/>
                <w:bCs w:val="false"/>
                <w:sz w:val="20"/>
                <w:szCs w:val="20"/>
              </w:rPr>
              <w:t>HỢP LỆ</w:t>
            </w:r>
          </w:p>
        </w:tc>
      </w:tr>
    </w:tbl>
    <w:p>
      <w:pPr>
        <w:spacing w:after="100"/>
      </w:pPr>
    </w:p>
    <w:p>
      <w:r>
        <w:rPr>
          <w:b w:val="0"/>
          <w:sz w:val="18"/>
        </w:rPr>
        <w:t>Đây là điểm mấu chốt: FEFO “mù” sẽ ưu tiên Lô 2, nhưng tại horizon tiêu thụ dùng cho planning, Lô 2 không đạt target RSL. Mô hình 7 loại Lô 2 trước; FEFO sau đó chỉ xếp thứ tự trong tập {Lô 1, Lô 3}. Đây là planning-stage protection, không phải đo actual purchase time/RSL của người tiêu dùng.</w:t>
      </w:r>
    </w:p>
    <w:p>
      <w:pPr>
        <w:spacing w:after="100"/>
      </w:pPr>
    </w:p>
    <w:p>
      <w:pPr>
        <w:pStyle w:val="Heading2"/>
        <w:spacing w:after="120" w:before="260"/>
      </w:pPr>
      <w:r>
        <w:rPr>
          <w:b/>
          <w:bCs/>
          <w:color w:val="2E5395"/>
          <w:sz w:val="25"/>
          <w:szCs w:val="25"/>
        </w:rPr>
        <w:t>Bước H — Phân bổ số lượng (Mô hình 12 hoặc phương án đơn giản Hitchcock)</w:t>
      </w:r>
    </w:p>
    <w:p>
      <w:pPr>
        <w:spacing w:after="140" w:line="300"/>
      </w:pPr>
      <w:r>
        <w:rPr>
          <w:sz w:val="22"/>
          <w:szCs w:val="22"/>
        </w:rPr>
        <w:t>Vì Lô 1 tại Kho A đã hợp lệ và Kho A cũng có chi phí vận chuyển thấp nhất trong số các lựa chọn hợp lệ, cả hai tiêu chí — giảm lãng phí (FEFO) và giảm chi phí (Mô hình 12/Hitchcock) — đều đồng thuận chọn Kho A phục vụ đơn hàng này trước. Nếu Kho A không đủ 100 thùng (ví dụ chỉ còn 70 thùng đạt điều kiện), hệ thống sẽ kích hoạt bước chia đơn hàng, lấy thêm 30 thùng còn lại từ Kho C (Lô 3) — không lấy từ Kho B vì Lô 2 đã bị loại từ bước D.</w:t>
      </w:r>
    </w:p>
    <w:p>
      <w:pPr>
        <w:spacing w:after="120"/>
      </w:pPr>
    </w:p>
    <w:tbl>
      <w:tblPr>
        <w:tblW w:type="dxa" w:w="9746"/>
        <w:tblBorders>
          <w:top w:val="single" w:color="1E7145" w:sz="4"/>
          <w:left w:val="single" w:color="1E7145" w:sz="24"/>
          <w:bottom w:val="single" w:color="1E7145" w:sz="4"/>
          <w:right w:val="single" w:color="1E7145" w:sz="4"/>
          <w:insideH w:val="none"/>
          <w:insideV w:val="none"/>
        </w:tblBorders>
        <w:tblLayout w:type="fixed"/>
      </w:tblPr>
      <w:tblGrid>
        <w:gridCol w:w="9746"/>
      </w:tblGrid>
      <w:tr>
        <w:trPr>
          <w:cantSplit/>
        </w:trPr>
        <w:tc>
          <w:tcPr>
            <w:tcW w:type="dxa" w:w="9746"/>
            <w:shd w:fill="FFFFFF" w:val="clear"/>
            <w:tcMar>
              <w:top w:type="dxa" w:w="120"/>
              <w:left w:type="dxa" w:w="220"/>
              <w:bottom w:type="dxa" w:w="120"/>
              <w:right w:type="dxa" w:w="200"/>
            </w:tcMar>
          </w:tcPr>
          <w:p>
            <w:pPr>
              <w:spacing w:after="60"/>
            </w:pPr>
            <w:r>
              <w:rPr>
                <w:b/>
                <w:bCs/>
                <w:color w:val="1E7145"/>
                <w:sz w:val="21"/>
                <w:szCs w:val="21"/>
              </w:rPr>
              <w:t>Kết luận ví dụ</w:t>
            </w:r>
          </w:p>
          <w:p>
            <w:r>
              <w:rPr>
                <w:sz w:val="21"/>
                <w:szCs w:val="21"/>
              </w:rPr>
              <w:t>Ba lợi ích được đáp ứng đồng thời trong ví dụ này: doanh nghiệp (chi phí thấp nhất trong các lựa chọn hợp lệ, giảm lãng phí bằng FEFO trong tập an toàn), nhà bán lẻ (đạt MLOR hợp đồng), người tiêu dùng (đủ hạn sử dụng khi mua). Không có bên nào đạt được lợi ích bằng cách hy sinh bên còn lại — đây chính là hệ quả trực tiếp của việc dùng ràng buộc cứng (Mục 3.6) thay vì điểm số trọng số.</w:t>
            </w:r>
          </w:p>
        </w:tc>
      </w:tr>
    </w:tbl>
    <w:p>
      <w:pPr>
        <w:spacing w:after="120"/>
      </w:pPr>
    </w:p>
    <w:p>
      <w:pPr>
        <w:pStyle w:val="Heading1"/>
        <w:spacing w:after="160" w:before="360"/>
      </w:pPr>
      <w:r>
        <w:rPr>
          <w:b/>
          <w:bCs/>
          <w:color w:val="1F3864"/>
          <w:sz w:val="30"/>
          <w:szCs w:val="30"/>
        </w:rPr>
        <w:t>5. GIỚI HẠN, GIẢ ĐỊNH VÀ NHỮNG GÌ KHÔNG ĐƯỢC KHẲNG ĐỊNH</w:t>
      </w:r>
    </w:p>
    <w:p>
      <w:pPr>
        <w:pStyle w:val="ListParagraph"/>
        <w:numPr>
          <w:ilvl w:val="0"/>
          <w:numId w:val="2"/>
        </w:numPr>
        <w:spacing w:after="100" w:line="290"/>
      </w:pPr>
      <w:r>
        <w:rPr>
          <w:b/>
          <w:bCs/>
          <w:sz w:val="22"/>
          <w:szCs w:val="22"/>
        </w:rPr>
        <w:t xml:space="preserve">Vận chuyển tĩnh: </w:t>
      </w:r>
      <w:r>
        <w:rPr>
          <w:sz w:val="22"/>
          <w:szCs w:val="22"/>
        </w:rPr>
        <w:t>Dijkstra dùng chi phí/thời gian kỳ vọng, tĩnh — không khẳng định tối ưu theo thời gian thực (giao thông thay đổi theo giờ).</w:t>
      </w:r>
    </w:p>
    <w:p>
      <w:pPr>
        <w:pStyle w:val="ListParagraph"/>
        <w:numPr>
          <w:ilvl w:val="0"/>
          <w:numId w:val="2"/>
        </w:numPr>
        <w:spacing w:after="100" w:line="290"/>
      </w:pPr>
      <w:r>
        <w:rPr>
          <w:b/>
          <w:bCs/>
          <w:sz w:val="22"/>
          <w:szCs w:val="22"/>
        </w:rPr>
        <w:t xml:space="preserve">Không quản lý điểm bán (POS) của người tiêu dùng: </w:t>
      </w:r>
      <w:r>
        <w:rPr>
          <w:sz w:val="22"/>
          <w:szCs w:val="22"/>
        </w:rPr>
        <w:t>hệ thống không theo dõi nhà bán lẻ bán lô nào cho khách hàng nào, nên không đo được hạn sử dụng thực tế mà người tiêu dùng nhận được sau khi mua — chỉ bảo vệ được ở giai đoạn lập kế hoạch/giao hàng (planning-stage protection).</w:t>
      </w:r>
    </w:p>
    <w:p>
      <w:pPr>
        <w:pStyle w:val="ListParagraph"/>
        <w:numPr>
          <w:ilvl w:val="0"/>
          <w:numId w:val="2"/>
        </w:numPr>
        <w:spacing w:after="100" w:line="290"/>
      </w:pPr>
      <w:r>
        <w:rPr>
          <w:b/>
          <w:bCs/>
          <w:sz w:val="22"/>
          <w:szCs w:val="22"/>
        </w:rPr>
        <w:t xml:space="preserve">Đơn hàng đầu tiên không phải nhu cầu thật: </w:t>
      </w:r>
      <w:r>
        <w:rPr>
          <w:sz w:val="22"/>
          <w:szCs w:val="22"/>
        </w:rPr>
        <w:t>là quyết định có xác nhận của con người, chỉ trở thành dữ liệu học nhu cầu đáng tin cậy sau vài chu kỳ đặt hàng tiếp theo.</w:t>
      </w:r>
    </w:p>
    <w:p>
      <w:pPr>
        <w:pStyle w:val="ListParagraph"/>
        <w:numPr>
          <w:ilvl w:val="0"/>
          <w:numId w:val="2"/>
        </w:numPr>
        <w:spacing w:after="100" w:line="290"/>
      </w:pPr>
      <w:r>
        <w:rPr>
          <w:b/>
          <w:bCs/>
          <w:sz w:val="22"/>
          <w:szCs w:val="22"/>
        </w:rPr>
        <w:t xml:space="preserve">MLOR khác Min-RSL: </w:t>
      </w:r>
      <w:r>
        <w:rPr>
          <w:sz w:val="22"/>
          <w:szCs w:val="22"/>
        </w:rPr>
        <w:t>hai ràng buộc bảo vệ hai đối tượng khác nhau, không được gộp làm một khái niệm.</w:t>
      </w:r>
    </w:p>
    <w:p>
      <w:pPr>
        <w:pStyle w:val="ListParagraph"/>
        <w:numPr>
          <w:ilvl w:val="0"/>
          <w:numId w:val="2"/>
        </w:numPr>
        <w:spacing w:after="100" w:line="290"/>
      </w:pPr>
      <w:r>
        <w:rPr>
          <w:b/>
          <w:bCs/>
          <w:sz w:val="22"/>
          <w:szCs w:val="22"/>
        </w:rPr>
        <w:t xml:space="preserve">Thích ứng mô hình: </w:t>
      </w:r>
      <w:r>
        <w:rPr>
          <w:sz w:val="22"/>
          <w:szCs w:val="22"/>
        </w:rPr>
        <w:t>mô hình luân chuyển kho (Mô hình 13) vốn được xây trên bối cảnh "kho trung tâm – nhiều cửa hàng", áp dụng cho mạng lưới nhiều kho ngang hàng của bài toán là một thích ứng cần được kiểm chứng lại bằng dữ liệu, không coi là mô hình đồng nhất.</w:t>
      </w:r>
    </w:p>
    <w:p>
      <w:pPr>
        <w:pStyle w:val="ListParagraph"/>
        <w:numPr>
          <w:ilvl w:val="0"/>
          <w:numId w:val="2"/>
        </w:numPr>
        <w:spacing w:after="100" w:line="290"/>
      </w:pPr>
      <w:r>
        <w:rPr>
          <w:b/>
          <w:bCs/>
          <w:sz w:val="22"/>
          <w:szCs w:val="22"/>
        </w:rPr>
        <w:t xml:space="preserve">Top-k Haversine là tham số thực nghiệm: </w:t>
      </w:r>
      <w:r>
        <w:rPr>
          <w:sz w:val="22"/>
          <w:szCs w:val="22"/>
        </w:rPr>
        <w:t>không có giá trị k "lý thuyết tối ưu" — cần benchmark bằng dữ liệu thật (k=3, 5, 10, hoặc tất cả).</w:t>
      </w:r>
    </w:p>
    <w:p>
      <w:pPr>
        <w:pStyle w:val="ListParagraph"/>
        <w:numPr>
          <w:ilvl w:val="0"/>
          <w:numId w:val="2"/>
        </w:numPr>
        <w:spacing w:after="100" w:line="290"/>
      </w:pPr>
      <w:r>
        <w:rPr>
          <w:b/>
          <w:bCs/>
          <w:sz w:val="22"/>
          <w:szCs w:val="22"/>
        </w:rPr>
        <w:t xml:space="preserve">Framework tích hợp, không phải một mô hình có sẵn: </w:t>
      </w:r>
      <w:r>
        <w:rPr>
          <w:sz w:val="22"/>
          <w:szCs w:val="22"/>
        </w:rPr>
        <w:t>chưa có bài báo nào chứng minh nguyên một pipeline từ cold-start đến luân chuyển kho — đóng góp của đồ án là tích hợp các phương pháp đã qua bình duyệt thành một framework nhất quán, có thể kiểm chứng từng phần.</w:t>
      </w:r>
    </w:p>
    <w:p>
      <w:pPr>
        <w:spacing w:after="120"/>
      </w:pPr>
    </w:p>
    <w:p>
      <w:pPr>
        <w:pStyle w:val="Heading1"/>
        <w:spacing w:after="160" w:before="360"/>
      </w:pPr>
      <w:r>
        <w:rPr>
          <w:b/>
          <w:bCs/>
          <w:color w:val="1F3864"/>
          <w:sz w:val="30"/>
          <w:szCs w:val="30"/>
        </w:rPr>
        <w:t>6. LỘ TRÌNH TRIỂN KHAI ĐỀ XUẤT</w:t>
      </w:r>
    </w:p>
    <w:p>
      <w:pPr>
        <w:spacing w:after="140" w:line="300"/>
      </w:pPr>
      <w:r>
        <w:rPr>
          <w:sz w:val="22"/>
          <w:szCs w:val="22"/>
        </w:rPr>
        <w:t>Toàn bộ 14 mô hình ở Mục 3 là khối lượng học thuật tương đương một bài báo/luận văn thạc sĩ — khá lớn để cài đặt và kiểm chứng đầy đủ trong khuôn khổ một đồ án. Đề xuất triển khai theo 3 giai đoạn:</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4700"/>
        <w:gridCol w:w="2900"/>
      </w:tblGrid>
      <w:tr>
        <w:trPr>
          <w:tblHeader/>
          <w:cantSplit/>
          <w:tblHeader w:val="true"/>
        </w:trPr>
        <w:tc>
          <w:tcPr>
            <w:tcW w:type="dxa" w:w="1800"/>
            <w:shd w:fill="1F3864" w:val="clear"/>
            <w:tcMar>
              <w:top w:type="dxa" w:w="100"/>
              <w:left w:type="dxa" w:w="120"/>
              <w:bottom w:type="dxa" w:w="100"/>
              <w:right w:type="dxa" w:w="120"/>
            </w:tcMar>
          </w:tcPr>
          <w:p>
            <w:r>
              <w:rPr>
                <w:b/>
                <w:bCs/>
                <w:color w:val="FFFFFF"/>
                <w:sz w:val="20"/>
                <w:szCs w:val="20"/>
              </w:rPr>
              <w:t>Giai đoạn</w:t>
            </w:r>
          </w:p>
        </w:tc>
        <w:tc>
          <w:tcPr>
            <w:tcW w:type="dxa" w:w="4700"/>
            <w:shd w:fill="1F3864" w:val="clear"/>
            <w:tcMar>
              <w:top w:type="dxa" w:w="100"/>
              <w:left w:type="dxa" w:w="120"/>
              <w:bottom w:type="dxa" w:w="100"/>
              <w:right w:type="dxa" w:w="120"/>
            </w:tcMar>
          </w:tcPr>
          <w:p>
            <w:r>
              <w:rPr>
                <w:b/>
                <w:bCs/>
                <w:color w:val="FFFFFF"/>
                <w:sz w:val="20"/>
                <w:szCs w:val="20"/>
              </w:rPr>
              <w:t>Nội dung ưu tiên</w:t>
            </w:r>
          </w:p>
        </w:tc>
        <w:tc>
          <w:tcPr>
            <w:tcW w:type="dxa" w:w="2900"/>
            <w:shd w:fill="1F3864" w:val="clear"/>
            <w:tcMar>
              <w:top w:type="dxa" w:w="100"/>
              <w:left w:type="dxa" w:w="120"/>
              <w:bottom w:type="dxa" w:w="100"/>
              <w:right w:type="dxa" w:w="120"/>
            </w:tcMar>
          </w:tcPr>
          <w:p>
            <w:r>
              <w:rPr>
                <w:b/>
                <w:bCs/>
                <w:color w:val="FFFFFF"/>
                <w:sz w:val="20"/>
                <w:szCs w:val="20"/>
              </w:rPr>
              <w:t>Ghi chú</w:t>
            </w:r>
          </w:p>
        </w:tc>
      </w:tr>
      <w:tr>
        <w:trPr>
          <w:cantSplit/>
        </w:trPr>
        <w:tc>
          <w:tcPr>
            <w:tcW w:type="dxa" w:w="1800"/>
            <w:tcMar>
              <w:top w:type="dxa" w:w="100"/>
              <w:left w:type="dxa" w:w="120"/>
              <w:bottom w:type="dxa" w:w="100"/>
              <w:right w:type="dxa" w:w="120"/>
            </w:tcMar>
          </w:tcPr>
          <w:p>
            <w:pPr>
              <w:jc w:val="left"/>
            </w:pPr>
            <w:r>
              <w:rPr>
                <w:b w:val="false"/>
                <w:bCs w:val="false"/>
                <w:sz w:val="20"/>
                <w:szCs w:val="20"/>
              </w:rPr>
              <w:t>1 — Lõi bắt buộc</w:t>
            </w:r>
          </w:p>
        </w:tc>
        <w:tc>
          <w:tcPr>
            <w:tcW w:type="dxa" w:w="4700"/>
            <w:tcMar>
              <w:top w:type="dxa" w:w="100"/>
              <w:left w:type="dxa" w:w="120"/>
              <w:bottom w:type="dxa" w:w="100"/>
              <w:right w:type="dxa" w:w="120"/>
            </w:tcMar>
          </w:tcPr>
          <w:p>
            <w:pPr>
              <w:jc w:val="left"/>
            </w:pPr>
            <w:r>
              <w:rPr>
                <w:b w:val="false"/>
                <w:bCs w:val="false"/>
                <w:sz w:val="20"/>
                <w:szCs w:val="20"/>
              </w:rPr>
              <w:t>Mô hình 7 và 9 (khả thi + FEFO; Mô hình 8 là nền tảng/benchmark), Mô hình 10, 11 (chọn kho + chi phí đường), chứng minh Mô hình 7 (Mục 3.4.1)</w:t>
            </w:r>
          </w:p>
        </w:tc>
        <w:tc>
          <w:tcPr>
            <w:tcW w:type="dxa" w:w="2900"/>
            <w:tcMar>
              <w:top w:type="dxa" w:w="100"/>
              <w:left w:type="dxa" w:w="120"/>
              <w:bottom w:type="dxa" w:w="100"/>
              <w:right w:type="dxa" w:w="120"/>
            </w:tcMar>
          </w:tcPr>
          <w:p>
            <w:pPr>
              <w:jc w:val="left"/>
            </w:pPr>
            <w:r>
              <w:rPr>
                <w:b w:val="false"/>
                <w:bCs w:val="false"/>
                <w:sz w:val="20"/>
                <w:szCs w:val="20"/>
              </w:rPr>
              <w:t>Trả lời trực tiếp cả 4 câu hỏi nghiên cứu ban đầu — ưu tiên làm trước và làm chắc</w:t>
            </w:r>
          </w:p>
        </w:tc>
      </w:tr>
      <w:tr>
        <w:trPr>
          <w:cantSplit/>
        </w:trPr>
        <w:tc>
          <w:tcPr>
            <w:tcW w:type="dxa" w:w="1800"/>
            <w:shd w:fill="F2F2F2" w:val="clear"/>
            <w:tcMar>
              <w:top w:type="dxa" w:w="100"/>
              <w:left w:type="dxa" w:w="120"/>
              <w:bottom w:type="dxa" w:w="100"/>
              <w:right w:type="dxa" w:w="120"/>
            </w:tcMar>
          </w:tcPr>
          <w:p>
            <w:pPr>
              <w:jc w:val="left"/>
            </w:pPr>
            <w:r>
              <w:rPr>
                <w:b w:val="false"/>
                <w:bCs w:val="false"/>
                <w:sz w:val="20"/>
                <w:szCs w:val="20"/>
              </w:rPr>
              <w:t>2 — Mở rộng nếu còn thời gian</w:t>
            </w:r>
          </w:p>
        </w:tc>
        <w:tc>
          <w:tcPr>
            <w:tcW w:type="dxa" w:w="4700"/>
            <w:shd w:fill="F2F2F2" w:val="clear"/>
            <w:tcMar>
              <w:top w:type="dxa" w:w="100"/>
              <w:left w:type="dxa" w:w="120"/>
              <w:bottom w:type="dxa" w:w="100"/>
              <w:right w:type="dxa" w:w="120"/>
            </w:tcMar>
          </w:tcPr>
          <w:p>
            <w:pPr>
              <w:jc w:val="left"/>
            </w:pPr>
            <w:r>
              <w:rPr>
                <w:b w:val="false"/>
                <w:bCs w:val="false"/>
                <w:sz w:val="20"/>
                <w:szCs w:val="20"/>
              </w:rPr>
              <w:t>Mô hình 12 (ưu tiên bản đơn giản Hitchcock trước, MDSDVRP đầy đủ sau nếu kịp), Mô hình 13 (luân chuyển kho)</w:t>
            </w:r>
          </w:p>
        </w:tc>
        <w:tc>
          <w:tcPr>
            <w:tcW w:type="dxa" w:w="2900"/>
            <w:shd w:fill="F2F2F2" w:val="clear"/>
            <w:tcMar>
              <w:top w:type="dxa" w:w="100"/>
              <w:left w:type="dxa" w:w="120"/>
              <w:bottom w:type="dxa" w:w="100"/>
              <w:right w:type="dxa" w:w="120"/>
            </w:tcMar>
          </w:tcPr>
          <w:p>
            <w:pPr>
              <w:jc w:val="left"/>
            </w:pPr>
            <w:r>
              <w:rPr>
                <w:b w:val="false"/>
                <w:bCs w:val="false"/>
                <w:sz w:val="20"/>
                <w:szCs w:val="20"/>
              </w:rPr>
              <w:t>Có thể dùng phương án đơn giản làm bước đệm rồi nâng cấp nếu còn thời gian</w:t>
            </w:r>
          </w:p>
        </w:tc>
      </w:tr>
      <w:tr>
        <w:trPr>
          <w:cantSplit/>
        </w:trPr>
        <w:tc>
          <w:tcPr>
            <w:tcW w:type="dxa" w:w="1800"/>
            <w:tcMar>
              <w:top w:type="dxa" w:w="100"/>
              <w:left w:type="dxa" w:w="120"/>
              <w:bottom w:type="dxa" w:w="100"/>
              <w:right w:type="dxa" w:w="120"/>
            </w:tcMar>
          </w:tcPr>
          <w:p>
            <w:pPr>
              <w:jc w:val="left"/>
            </w:pPr>
            <w:r>
              <w:rPr>
                <w:b w:val="false"/>
                <w:bCs w:val="false"/>
                <w:sz w:val="20"/>
                <w:szCs w:val="20"/>
              </w:rPr>
              <w:t>3 — Nếu dư thời gian/muốn điểm cao hơn</w:t>
            </w:r>
          </w:p>
        </w:tc>
        <w:tc>
          <w:tcPr>
            <w:tcW w:type="dxa" w:w="4700"/>
            <w:tcMar>
              <w:top w:type="dxa" w:w="100"/>
              <w:left w:type="dxa" w:w="120"/>
              <w:bottom w:type="dxa" w:w="100"/>
              <w:right w:type="dxa" w:w="120"/>
            </w:tcMar>
          </w:tcPr>
          <w:p>
            <w:pPr>
              <w:jc w:val="left"/>
            </w:pPr>
            <w:r>
              <w:rPr>
                <w:b w:val="false"/>
                <w:bCs w:val="false"/>
                <w:sz w:val="20"/>
                <w:szCs w:val="20"/>
              </w:rPr>
              <w:t>Mô hình 1–4 (cold-start + học nhu cầu tuần tự)</w:t>
            </w:r>
          </w:p>
        </w:tc>
        <w:tc>
          <w:tcPr>
            <w:tcW w:type="dxa" w:w="2900"/>
            <w:tcMar>
              <w:top w:type="dxa" w:w="100"/>
              <w:left w:type="dxa" w:w="120"/>
              <w:bottom w:type="dxa" w:w="100"/>
              <w:right w:type="dxa" w:w="120"/>
            </w:tcMar>
          </w:tcPr>
          <w:p>
            <w:pPr>
              <w:jc w:val="left"/>
            </w:pPr>
            <w:r>
              <w:rPr>
                <w:b w:val="false"/>
                <w:bCs w:val="false"/>
                <w:sz w:val="20"/>
                <w:szCs w:val="20"/>
              </w:rPr>
              <w:t>Phần khó nhất về mặt thống kê — nên làm sau khi Giai đoạn 1–2 đã chạy ổn định</w:t>
            </w:r>
          </w:p>
        </w:tc>
      </w:tr>
    </w:tbl>
    <w:p>
      <w:pPr>
        <w:spacing w:after="120"/>
      </w:pPr>
    </w:p>
    <w:p>
      <w:pPr>
        <w:pStyle w:val="Heading1"/>
        <w:spacing w:after="160" w:before="360"/>
      </w:pPr>
      <w:r>
        <w:rPr>
          <w:b/>
          <w:bCs/>
          <w:color w:val="1F3864"/>
          <w:sz w:val="30"/>
          <w:szCs w:val="30"/>
        </w:rPr>
        <w:t>7. KẾT LUẬN</w:t>
      </w:r>
    </w:p>
    <w:p>
      <w:r>
        <w:rPr>
          <w:b w:val="0"/>
          <w:sz w:val="18"/>
        </w:rPr>
        <w:t>Framework trình bày trong báo cáo này trả lời trực tiếp cả bốn câu hỏi vận hành đặt ra ở Mục 1: (1) lưu kho/phân phối/luân chuyển được xử lý qua chuỗi Haversine → Dijkstra → phân bổ giao hàng → luân chuyển kho; (2) "mâu thuẫn" giữa dùng hàng hạn ngắn và bảo vệ người tiêu dùng được giải quyết bằng trình tự khả thi-trước-FEFO-sau, không phải một công thức lai; (3) việc phân bổ lô hàng theo kho gắn với chu kỳ đặt hàng theo tuần được xử lý bằng mô hình học nhu cầu tuần tự và chu kỳ ghé thăm; (4) cân bằng lợi ích ba bên cho một đơn hàng cụ thể (ví dụ Quận 12) được mã hoá thành ràng buộc kép MLOR + Min-RSL, kết hợp tối thiểu hoá chi phí trong vùng đã được hai ràng buộc đó bảo vệ. Các thành phần nguồn đều truy vết được tới tài liệu học thuật cụ thể. Riêng Mô hình 7 là ràng buộc tích hợp của đồ án: nguồn của từng thành phần được truy vết riêng và phép suy dẫn được chứng minh tại Mục 3.4.1, cùng giả định và giới hạn claim.</w:t>
      </w:r>
    </w:p>
    <w:p>
      <w:pPr>
        <w:spacing w:after="120"/>
      </w:pPr>
    </w:p>
    <w:p>
      <w:pPr>
        <w:pStyle w:val="Heading1"/>
        <w:spacing w:after="160" w:before="360"/>
      </w:pPr>
      <w:r>
        <w:rPr>
          <w:b/>
          <w:bCs/>
          <w:color w:val="1F3864"/>
          <w:sz w:val="30"/>
          <w:szCs w:val="30"/>
        </w:rPr>
        <w:t>8. TÀI LIỆU THAM KHẢO</w:t>
      </w:r>
    </w:p>
    <w:p>
      <w:pPr>
        <w:spacing w:after="140" w:line="300"/>
      </w:pPr>
      <w:r>
        <w:rPr>
          <w:sz w:val="20"/>
          <w:szCs w:val="20"/>
        </w:rPr>
        <w:t>[R1] Fildes, R., Goodwin, P., Lawrence, M., &amp; Nikolopoulos, K. (2009). Effective forecasting and judgmental adjustments: an empirical evaluation and strategies for improvement in supply-chain planning. International Journal of Forecasting, 25(1), 3–23. https://doi.org/10.1016/j.ijforecast.2008.11.010</w:t>
      </w:r>
    </w:p>
    <w:p>
      <w:pPr>
        <w:spacing w:after="140" w:line="300"/>
      </w:pPr>
      <w:r>
        <w:rPr>
          <w:sz w:val="20"/>
          <w:szCs w:val="20"/>
        </w:rPr>
        <w:t>[R2] Yang, C.-L., &amp; Nguyen, T. P. Q. (2022). Sequential Clustering and Classification Approach to Analyze Sales Performance of Retail Stores Based on Point-of-Sale Data. International Journal of Information Technology &amp; Decision Making, 21(3), 885–910. https://doi.org/10.1142/S0219622022500079</w:t>
      </w:r>
    </w:p>
    <w:p>
      <w:pPr>
        <w:spacing w:after="140" w:line="300"/>
      </w:pPr>
      <w:r>
        <w:rPr>
          <w:sz w:val="20"/>
          <w:szCs w:val="20"/>
        </w:rPr>
        <w:t>[R3] Lu, X., Song, J.-S., &amp; Zhu, K. (2008). Analysis of Perishable-Inventory Systems with Censored Demand Data. Operations Research, 56(4), 1034–1038. https://doi.org/10.1287/opre.1080.0553</w:t>
      </w:r>
    </w:p>
    <w:p>
      <w:pPr>
        <w:spacing w:after="140" w:line="300"/>
      </w:pPr>
      <w:r>
        <w:rPr>
          <w:sz w:val="20"/>
          <w:szCs w:val="20"/>
        </w:rPr>
        <w:t>[R4] Santos, M. J., Martins, S., Amorim, P., &amp; Almada-Lobo, B. (2022). On the impact of adjusting the minimum life on receipt (MLOR) criterion in food supply chains. Omega, 112, 102691. https://doi.org/10.1016/j.omega.2022.102691</w:t>
      </w:r>
    </w:p>
    <w:p>
      <w:pPr>
        <w:spacing w:after="140" w:line="300"/>
      </w:pPr>
      <w:r>
        <w:rPr>
          <w:sz w:val="20"/>
          <w:szCs w:val="20"/>
        </w:rPr>
        <w:t>[R5] Singh, N. K., &amp; Kuthambalayan, T. S. (2022). Integrating operations and marketing decisions to manage perishability risks with target minimum remaining shelf-life available to consumers. Computers &amp; Industrial Engineering, 163, 107812. https://doi.org/10.1016/j.cie.2021.107812</w:t>
      </w:r>
    </w:p>
    <w:p>
      <w:pPr>
        <w:spacing w:after="140" w:line="300"/>
      </w:pPr>
      <w:r>
        <w:rPr>
          <w:sz w:val="20"/>
          <w:szCs w:val="20"/>
        </w:rPr>
        <w:t>[R6] Nematollahi, M., Hosseini-Motlagh, S. M., Cárdenas-Barrón, L. E., &amp; Tiwari, S. (2022). Coordinating visit interval and safety stock decisions in a two-level supply chain with shelf-life considerations. Computers &amp; Operations Research, 139, 105651. https://doi.org/10.1016/j.cor.2021.105651</w:t>
      </w:r>
    </w:p>
    <w:p>
      <w:pPr>
        <w:spacing w:after="140" w:line="300"/>
      </w:pPr>
      <w:r>
        <w:rPr>
          <w:sz w:val="20"/>
          <w:szCs w:val="20"/>
        </w:rPr>
        <w:t>[R7] Pal, A., &amp; Kant, K. (2020). Smart Sensing, Communication, and Control in Perishable Food Supply Chain. ACM Transactions on Sensor Networks, 16(1), Article 12, 1–41. https://doi.org/10.1145/3360726</w:t>
      </w:r>
    </w:p>
    <w:p>
      <w:pPr>
        <w:spacing w:after="140" w:line="300"/>
      </w:pPr>
      <w:r>
        <w:rPr>
          <w:sz w:val="20"/>
          <w:szCs w:val="20"/>
        </w:rPr>
        <w:t>[R8] Rozhkov, M., Ivanov, D., Blackhurst, J., &amp; Nair, A. (2022). Adapting supply chain operations in anticipation of and during the COVID-19 pandemic. Omega, 110, 102635. https://doi.org/10.1016/j.omega.2022.102635</w:t>
      </w:r>
    </w:p>
    <w:p>
      <w:pPr>
        <w:spacing w:after="140" w:line="300"/>
      </w:pPr>
      <w:r>
        <w:rPr>
          <w:sz w:val="20"/>
          <w:szCs w:val="20"/>
        </w:rPr>
        <w:t>[R9] Broekmeulen, R. A. C. M., &amp; van Donselaar, K. H. (2019). Quantifying the potential to improve on food waste, freshness and sales for perishables in supermarkets. International Journal of Production Economics, 209, 265–273. https://doi.org/10.1016/j.ijpe.2017.10.003</w:t>
      </w:r>
    </w:p>
    <w:p>
      <w:pPr>
        <w:spacing w:after="140" w:line="300"/>
      </w:pPr>
      <w:r>
        <w:rPr>
          <w:sz w:val="20"/>
          <w:szCs w:val="20"/>
        </w:rPr>
        <w:t>[R10] Baskar, A., &amp; Xavior, M. A. (2022). A four-point direction search heuristic algorithm applied to facility location on plane, sphere, and ellipsoid surfaces. Journal of the Operational Research Society, 73(11), 2385–2394. https://doi.org/10.1080/01605682.2021.1984185</w:t>
      </w:r>
    </w:p>
    <w:p>
      <w:pPr>
        <w:spacing w:after="140" w:line="300"/>
      </w:pPr>
      <w:r>
        <w:rPr>
          <w:sz w:val="20"/>
          <w:szCs w:val="20"/>
        </w:rPr>
        <w:t>[R11] Dijkstra, E. W. (1959). A note on two problems in connexion with graphs. Numerische Mathematik, 1, 269–271. https://doi.org/10.1007/BF01386390</w:t>
      </w:r>
    </w:p>
    <w:p>
      <w:pPr>
        <w:spacing w:after="140" w:line="300"/>
      </w:pPr>
      <w:r>
        <w:rPr>
          <w:sz w:val="20"/>
          <w:szCs w:val="20"/>
        </w:rPr>
        <w:t>[R12] Ray, S., Soeanu, A., Berger, J., &amp; Debbabi, M. (2014). The multi-depot split-delivery vehicle routing problem: Model and solution algorithm. Knowledge-Based Systems, 71, 238–265. https://doi.org/10.1016/j.knosys.2014.08.006</w:t>
      </w:r>
    </w:p>
    <w:p>
      <w:pPr>
        <w:spacing w:after="140" w:line="300"/>
      </w:pPr>
      <w:r>
        <w:rPr>
          <w:sz w:val="20"/>
          <w:szCs w:val="20"/>
        </w:rPr>
        <w:t>[R13] Gouveia, L., Leitner, M., &amp; Ruthmair, M. (2023). Multi-Depot Routing with Split Deliveries: Models and a Branch-and-Cut Algorithm. Transportation Science, 57(2), 512–530. https://doi.org/10.1287/trsc.2022.1179</w:t>
      </w:r>
    </w:p>
    <w:p>
      <w:pPr>
        <w:spacing w:after="140" w:line="300"/>
      </w:pPr>
      <w:r>
        <w:rPr>
          <w:sz w:val="20"/>
          <w:szCs w:val="20"/>
        </w:rPr>
        <w:t>[R14] Turan, B., Minner, S., &amp; Hartl, R. F. (2017). A VNS approach to multi-location inventory redistribution with vehicle routing. Computers &amp; Operations Research, 78, 526–536. https://doi.org/10.1016/j.cor.2016.02.018</w:t>
      </w:r>
    </w:p>
    <w:p>
      <w:pPr>
        <w:spacing w:after="140" w:line="300"/>
      </w:pPr>
      <w:r>
        <w:rPr>
          <w:sz w:val="20"/>
          <w:szCs w:val="20"/>
        </w:rPr>
        <w:t>[R15] Alvarez, A., Cordeau, J.-F., Jans, R., Munari, P., &amp; Morabito, R. (2020). Formulations, branch-and-cut and a hybrid heuristic algorithm for an inventory routing problem with perishable products. European Journal of Operational Research, 283(2), 511–529. https://doi.org/10.1016/j.ejor.2019.11.015</w:t>
      </w:r>
    </w:p>
    <w:p>
      <w:pPr>
        <w:spacing w:after="140" w:line="300"/>
      </w:pPr>
      <w:r>
        <w:rPr>
          <w:sz w:val="20"/>
          <w:szCs w:val="20"/>
        </w:rPr>
        <w:t>[R16] Hitchcock, F. L. (1941). The Distribution of a Product from Several Sources to Numerous Localities. Journal of Mathematics and Physics, 20(1–4), 224–230. https://doi.org/10.1002/sapm1941201224</w:t>
      </w:r>
    </w:p>
    <w:p>
      <w:pPr>
        <w:spacing w:after="140" w:line="300"/>
      </w:pPr>
      <w:r>
        <w:rPr>
          <w:sz w:val="20"/>
          <w:szCs w:val="20"/>
        </w:rPr>
        <w:t>[R17] Mavrotas, G. (2009). Effective implementation of the ε-constraint method in Multi-Objective Mathematical Programming problems. Applied Mathematics and Computation, 213(2), 455–465. https://doi.org/10.1016/j.amc.2009.03.037</w:t>
      </w:r>
    </w:p>
    <w:p>
      <w:pPr>
        <w:spacing w:after="140" w:line="300"/>
      </w:pPr>
      <w:r>
        <w:rPr>
          <w:sz w:val="20"/>
          <w:szCs w:val="20"/>
        </w:rPr>
        <w:t>[R18] Akkas, A., &amp; Honhon, D. (2023). Determining maximum shipping age requirements for shelf life and food waste management. Production and Operations Management, 32(7), 2173–2188. https://doi.org/10.1111/poms.13963</w:t>
      </w:r>
    </w:p>
    <w:p>
      <w:pPr>
        <w:spacing w:after="140" w:line="300"/>
      </w:pPr>
      <w:r>
        <w:rPr>
          <w:sz w:val="20"/>
          <w:szCs w:val="20"/>
        </w:rPr>
        <w:t>[R19] Mohamadi, N., Transchel, S., &amp; Fransoo, J. C. (2025). Coordinate or collaborate? Reducing food waste in perishable-product supply chains. European Journal of Operational Research, 323(3), 795–809. https://doi.org/10.1016/j.ejor.2024.12.039</w:t>
      </w:r>
    </w:p>
    <w:p>
      <w:pPr>
        <w:spacing w:after="120"/>
      </w:pPr>
    </w:p>
    <w:tbl>
      <w:tblPr>
        <w:tblW w:type="dxa" w:w="9746"/>
        <w:tblBorders>
          <w:top w:val="single" w:color="9C5700" w:sz="4"/>
          <w:left w:val="single" w:color="9C5700" w:sz="24"/>
          <w:bottom w:val="single" w:color="9C5700" w:sz="4"/>
          <w:right w:val="single" w:color="9C5700" w:sz="4"/>
          <w:insideH w:val="none"/>
          <w:insideV w:val="none"/>
        </w:tblBorders>
        <w:tblLayout w:type="fixed"/>
      </w:tblPr>
      <w:tblGrid>
        <w:gridCol w:w="9746"/>
      </w:tblGrid>
      <w:tr>
        <w:trPr>
          <w:cantSplit/>
        </w:trPr>
        <w:tc>
          <w:tcPr>
            <w:tcW w:type="dxa" w:w="9746"/>
            <w:shd w:fill="FBFCFE" w:val="clear"/>
            <w:tcMar>
              <w:top w:type="dxa" w:w="120"/>
              <w:left w:type="dxa" w:w="220"/>
              <w:bottom w:type="dxa" w:w="120"/>
              <w:right w:type="dxa" w:w="200"/>
            </w:tcMar>
            <w:vAlign w:val="center"/>
          </w:tcPr>
          <w:p>
            <w:r>
              <w:rPr>
                <w:b/>
                <w:color w:val="1F4E79"/>
                <w:sz w:val="24"/>
              </w:rPr>
              <w:t>9. ĐÁNH GIÁ ĐỘ TIN CẬY CỦA CÁC NGUỒN THAM KHẢO</w:t>
            </w:r>
          </w:p>
          <w:p>
            <w:pPr>
              <w:spacing w:after="100"/>
            </w:pPr>
            <w:r>
              <w:rPr>
                <w:b/>
                <w:sz w:val="18"/>
              </w:rPr>
              <w:t>Tiêu chí đánh giá.</w:t>
            </w:r>
            <w:r>
              <w:rPr>
                <w:sz w:val="18"/>
              </w:rPr>
              <w:t xml:space="preserve"> Báo cáo ưu tiên: (1) peer-review; (2) DOI/metadata truy vết được; (3) journal/professional publisher có lịch sử trong Operations Research, supply chain, forecasting hoặc computing; (4) paper phải trực tiếp hỗ trợ đúng module được trích, không dùng uy tín tạp chí để suy rộng ngoài nội dung paper.</w:t>
            </w:r>
          </w:p>
          <w:p>
            <w:pPr>
              <w:spacing w:after="100"/>
            </w:pPr>
            <w:r>
              <w:rPr>
                <w:b/>
                <w:sz w:val="18"/>
              </w:rPr>
              <w:t>Nhóm nguồn lõi Operations Research / supply chain.</w:t>
            </w:r>
            <w:r>
              <w:rPr>
                <w:sz w:val="18"/>
              </w:rPr>
              <w:t xml:space="preserve"> Operations Research và Transportation Science (INFORMS); Omega, European Journal of Operational Research, Computers &amp; Operations Research, Computers &amp; Industrial Engineering và International Journal of Production Economics (Elsevier); Production and Operations Management. Đây là các venue học thuật lâu năm, peer-reviewed, phù hợp trực tiếp với inventory, routing, perishability và optimization.</w:t>
            </w:r>
          </w:p>
          <w:p>
            <w:pPr>
              <w:spacing w:after="100"/>
            </w:pPr>
            <w:r>
              <w:rPr>
                <w:b/>
                <w:sz w:val="18"/>
              </w:rPr>
              <w:t>Nhóm nguồn computing/logistics.</w:t>
            </w:r>
            <w:r>
              <w:rPr>
                <w:sz w:val="18"/>
              </w:rPr>
              <w:t xml:space="preserve"> ACM Transactions on Sensor Networks là journal peer-reviewed của ACM. Pal &amp; Kant [R7] được dùng đúng cho cấu trúc shelf-life–transit–consumption và làm nền cho Mô hình 7; không dùng paper này để chứng minh MLOR hay Consumer Min-RSL.</w:t>
            </w:r>
          </w:p>
          <w:p>
            <w:pPr>
              <w:spacing w:after="100"/>
            </w:pPr>
            <w:r>
              <w:rPr>
                <w:b/>
                <w:sz w:val="18"/>
              </w:rPr>
              <w:t>Nhóm forecasting / decision support.</w:t>
            </w:r>
            <w:r>
              <w:rPr>
                <w:sz w:val="18"/>
              </w:rPr>
              <w:t xml:space="preserve"> International Journal of Forecasting và các nguồn về clustering/Bayesian learning được dùng cho cold-start, judgmental adjustment và sequential learning. Các nguồn này không thay thế mô hình perishability/routing.</w:t>
            </w:r>
          </w:p>
          <w:p>
            <w:pPr>
              <w:spacing w:after="100"/>
            </w:pPr>
            <w:r>
              <w:rPr>
                <w:b/>
                <w:sz w:val="18"/>
              </w:rPr>
              <w:t>Nguồn cổ điển.</w:t>
            </w:r>
            <w:r>
              <w:rPr>
                <w:sz w:val="18"/>
              </w:rPr>
              <w:t xml:space="preserve"> Dijkstra (1959) và Hitchcock (1941) là nguồn nền tảng cho shortest path và transportation problem. Tuổi bài báo không làm giảm giá trị của kết quả toán nền tảng; nhưng assumptions phải được nêu đúng.</w:t>
            </w:r>
          </w:p>
          <w:p>
            <w:pPr>
              <w:spacing w:after="100"/>
            </w:pPr>
            <w:r>
              <w:rPr>
                <w:b/>
                <w:sz w:val="18"/>
              </w:rPr>
              <w:t>Nguồn mới bổ sung.</w:t>
            </w:r>
            <w:r>
              <w:rPr>
                <w:sz w:val="18"/>
              </w:rPr>
              <w:t xml:space="preserve"> Akkas &amp; Honhon [R18] và Mohamadi et al. [R19] là nguồn peer-reviewed mới về shelf-life shipping threshold/MLOR coordination. R20 KHÔNG được gọi là MLOR-equivalent; R21 hỗ trợ trực tiếp hơn cho MLOR collaboration.</w:t>
            </w:r>
          </w:p>
          <w:p>
            <w:pPr>
              <w:spacing w:after="100"/>
            </w:pPr>
            <w:r>
              <w:rPr>
                <w:b/>
                <w:sz w:val="18"/>
              </w:rPr>
              <w:t>Nguyên tắc khi bảo vệ.</w:t>
            </w:r>
            <w:r>
              <w:rPr>
                <w:sz w:val="18"/>
              </w:rPr>
              <w:t xml:space="preserve"> Không nói “journal uy tín nên công thức chắc chắn đúng cho bài toán của em”. Cách trình bày an toàn là: paper đã chứng minh/kiểm nghiệm trong bối cảnh X; đồ án sử dụng phần Y vì assumptions tương thích; khác biệt Z được ghi là adaptation và được benchmark.</w:t>
            </w:r>
          </w:p>
          <w:p>
            <w:pPr>
              <w:spacing w:after="100"/>
            </w:pPr>
            <w:r>
              <w:rPr>
                <w:b/>
                <w:sz w:val="18"/>
              </w:rPr>
              <w:t>Checklist trước khi nộp.</w:t>
            </w:r>
            <w:r>
              <w:rPr>
                <w:sz w:val="18"/>
              </w:rPr>
              <w:t xml:space="preserve"> Mở DOI/PDF Version of Record của các nguồn dùng equation; đối chiếu equation number, ký hiệu, assumptions, volume/pages; kiểm tra citation style; đánh dấu rõ nguồn trực tiếp, nguồn hỗ trợ và phần contribution/suy dẫn của đồ án.</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2026-08-25T14:19:35.822Z</dcterms:created>
  <dcterms:modified xsi:type="dcterms:W3CDTF">2026-08-25T14:19:35.823Z</dcterms:modified>
</cp:coreProperties>
</file>

<file path=docProps/custom.xml><?xml version="1.0" encoding="utf-8"?>
<Properties xmlns="http://schemas.openxmlformats.org/officeDocument/2006/custom-properties" xmlns:vt="http://schemas.openxmlformats.org/officeDocument/2006/docPropsVTypes"/>
</file>