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rPr>
      </w:pPr>
    </w:p>
    <w:p w14:paraId="00000002">
      <w:pPr>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2707005" cy="8318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6"/>
                    <a:srcRect/>
                    <a:stretch>
                      <a:fillRect/>
                    </a:stretch>
                  </pic:blipFill>
                  <pic:spPr>
                    <a:xfrm>
                      <a:off x="0" y="0"/>
                      <a:ext cx="2707537" cy="832092"/>
                    </a:xfrm>
                    <a:prstGeom prst="rect">
                      <a:avLst/>
                    </a:prstGeom>
                  </pic:spPr>
                </pic:pic>
              </a:graphicData>
            </a:graphic>
          </wp:inline>
        </w:drawing>
      </w:r>
    </w:p>
    <w:p w14:paraId="00000003">
      <w:pPr>
        <w:rPr>
          <w:rFonts w:ascii="Times New Roman" w:hAnsi="Times New Roman" w:eastAsia="Times New Roman" w:cs="Times New Roman"/>
        </w:rPr>
      </w:pPr>
    </w:p>
    <w:p w14:paraId="00000004">
      <w:pPr>
        <w:rPr>
          <w:rFonts w:ascii="Times New Roman" w:hAnsi="Times New Roman" w:eastAsia="Times New Roman" w:cs="Times New Roman"/>
        </w:rPr>
      </w:pPr>
    </w:p>
    <w:p w14:paraId="00000005">
      <w:pPr>
        <w:rPr>
          <w:rFonts w:ascii="Times New Roman" w:hAnsi="Times New Roman" w:eastAsia="Times New Roman" w:cs="Times New Roman"/>
        </w:rPr>
      </w:pPr>
    </w:p>
    <w:p w14:paraId="00000006">
      <w:pPr>
        <w:rPr>
          <w:rFonts w:ascii="Times New Roman" w:hAnsi="Times New Roman" w:eastAsia="Times New Roman" w:cs="Times New Roman"/>
        </w:rPr>
      </w:pPr>
    </w:p>
    <w:p w14:paraId="00000007">
      <w:pPr>
        <w:rPr>
          <w:rFonts w:ascii="Times New Roman" w:hAnsi="Times New Roman" w:eastAsia="Times New Roman" w:cs="Times New Roman"/>
        </w:rPr>
      </w:pPr>
    </w:p>
    <w:p w14:paraId="00000008">
      <w:pPr>
        <w:rPr>
          <w:rFonts w:ascii="Times New Roman" w:hAnsi="Times New Roman" w:eastAsia="Times New Roman" w:cs="Times New Roman"/>
        </w:rPr>
      </w:pPr>
    </w:p>
    <w:p w14:paraId="00000009">
      <w:pPr>
        <w:rPr>
          <w:rFonts w:ascii="Times New Roman" w:hAnsi="Times New Roman" w:eastAsia="Times New Roman" w:cs="Times New Roman"/>
        </w:rPr>
      </w:pPr>
    </w:p>
    <w:p w14:paraId="0000000A">
      <w:pPr>
        <w:jc w:val="center"/>
        <w:rPr>
          <w:rFonts w:ascii="Times New Roman" w:hAnsi="Times New Roman" w:eastAsia="Times New Roman" w:cs="Times New Roman"/>
          <w:b/>
          <w:bCs/>
          <w:smallCaps/>
          <w:color w:val="C00000"/>
          <w:sz w:val="56"/>
          <w:szCs w:val="56"/>
        </w:rPr>
      </w:pPr>
      <w:r>
        <w:rPr>
          <w:rFonts w:ascii="Times New Roman" w:hAnsi="Times New Roman" w:eastAsia="Times New Roman" w:cs="Times New Roman"/>
          <w:b/>
          <w:bCs/>
          <w:smallCaps/>
          <w:color w:val="C00000"/>
          <w:sz w:val="56"/>
          <w:szCs w:val="56"/>
          <w:rtl w:val="0"/>
        </w:rPr>
        <w:t>CAPSTONE PROJECT REPORT</w:t>
      </w:r>
    </w:p>
    <w:p w14:paraId="0000000B">
      <w:pPr>
        <w:jc w:val="center"/>
        <w:rPr>
          <w:rFonts w:ascii="Times New Roman" w:hAnsi="Times New Roman" w:eastAsia="Times New Roman" w:cs="Times New Roman"/>
          <w:b/>
          <w:bCs/>
          <w:color w:val="C00000"/>
          <w:sz w:val="44"/>
          <w:szCs w:val="44"/>
        </w:rPr>
      </w:pPr>
      <w:r>
        <w:rPr>
          <w:rFonts w:ascii="Times New Roman" w:hAnsi="Times New Roman" w:eastAsia="Times New Roman" w:cs="Times New Roman"/>
          <w:b/>
          <w:bCs/>
          <w:color w:val="C00000"/>
          <w:sz w:val="44"/>
          <w:szCs w:val="44"/>
          <w:rtl w:val="0"/>
        </w:rPr>
        <w:t>Report 1 – Project Introduction</w:t>
      </w:r>
    </w:p>
    <w:p w14:paraId="0000000C">
      <w:pPr>
        <w:jc w:val="center"/>
        <w:rPr>
          <w:rFonts w:ascii="Times New Roman" w:hAnsi="Times New Roman" w:eastAsia="Times New Roman" w:cs="Times New Roman"/>
          <w:b/>
          <w:bCs/>
          <w:sz w:val="44"/>
          <w:szCs w:val="44"/>
        </w:rPr>
      </w:pPr>
    </w:p>
    <w:p w14:paraId="0000000D">
      <w:pPr>
        <w:jc w:val="center"/>
        <w:rPr>
          <w:rFonts w:ascii="Times New Roman" w:hAnsi="Times New Roman" w:eastAsia="Times New Roman" w:cs="Times New Roman"/>
          <w:b/>
          <w:bCs/>
          <w:sz w:val="44"/>
          <w:szCs w:val="44"/>
        </w:rPr>
      </w:pPr>
    </w:p>
    <w:p w14:paraId="0000000E">
      <w:pPr>
        <w:jc w:val="center"/>
        <w:rPr>
          <w:rFonts w:ascii="Times New Roman" w:hAnsi="Times New Roman" w:eastAsia="Times New Roman" w:cs="Times New Roman"/>
          <w:b/>
          <w:bCs/>
          <w:sz w:val="44"/>
          <w:szCs w:val="44"/>
        </w:rPr>
      </w:pPr>
    </w:p>
    <w:p w14:paraId="0000000F">
      <w:pPr>
        <w:jc w:val="center"/>
        <w:rPr>
          <w:rFonts w:ascii="Times New Roman" w:hAnsi="Times New Roman" w:eastAsia="Times New Roman" w:cs="Times New Roman"/>
          <w:b/>
          <w:bCs/>
          <w:sz w:val="44"/>
          <w:szCs w:val="44"/>
        </w:rPr>
      </w:pPr>
    </w:p>
    <w:p w14:paraId="00000010">
      <w:pPr>
        <w:jc w:val="center"/>
        <w:rPr>
          <w:rFonts w:ascii="Times New Roman" w:hAnsi="Times New Roman" w:eastAsia="Times New Roman" w:cs="Times New Roman"/>
          <w:b/>
          <w:bCs/>
          <w:sz w:val="44"/>
          <w:szCs w:val="44"/>
        </w:rPr>
      </w:pPr>
    </w:p>
    <w:p w14:paraId="00000011">
      <w:pPr>
        <w:jc w:val="center"/>
        <w:rPr>
          <w:rFonts w:ascii="Times New Roman" w:hAnsi="Times New Roman" w:eastAsia="Times New Roman" w:cs="Times New Roman"/>
          <w:b/>
          <w:bCs/>
          <w:sz w:val="44"/>
          <w:szCs w:val="44"/>
        </w:rPr>
      </w:pPr>
    </w:p>
    <w:p w14:paraId="00000012">
      <w:pPr>
        <w:jc w:val="center"/>
        <w:rPr>
          <w:rFonts w:ascii="Times New Roman" w:hAnsi="Times New Roman" w:eastAsia="Times New Roman" w:cs="Times New Roman"/>
          <w:b/>
          <w:bCs/>
          <w:sz w:val="44"/>
          <w:szCs w:val="44"/>
        </w:rPr>
      </w:pPr>
    </w:p>
    <w:p w14:paraId="00000013">
      <w:pPr>
        <w:jc w:val="center"/>
        <w:rPr>
          <w:rFonts w:ascii="Times New Roman" w:hAnsi="Times New Roman" w:eastAsia="Times New Roman" w:cs="Times New Roman"/>
          <w:b/>
          <w:bCs/>
          <w:sz w:val="44"/>
          <w:szCs w:val="44"/>
        </w:rPr>
      </w:pPr>
    </w:p>
    <w:p w14:paraId="00000014">
      <w:pPr>
        <w:jc w:val="center"/>
        <w:rPr>
          <w:rFonts w:ascii="Times New Roman" w:hAnsi="Times New Roman" w:eastAsia="Times New Roman" w:cs="Times New Roman"/>
          <w:b/>
          <w:bCs/>
          <w:sz w:val="44"/>
          <w:szCs w:val="44"/>
        </w:rPr>
      </w:pPr>
    </w:p>
    <w:p w14:paraId="00000015">
      <w:pPr>
        <w:spacing w:before="89"/>
        <w:ind w:left="2526" w:right="2171"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Ho Chi Minh City, September 2026 –</w:t>
      </w:r>
    </w:p>
    <w:p w14:paraId="0000001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Times New Roman" w:hAnsi="Times New Roman" w:eastAsia="Times New Roman" w:cs="Times New Roman"/>
          <w:b/>
          <w:bCs/>
          <w:i w:val="0"/>
          <w:iCs w:val="0"/>
          <w:smallCaps w:val="0"/>
          <w:strike w:val="0"/>
          <w:color w:val="2E75B5"/>
          <w:sz w:val="32"/>
          <w:szCs w:val="32"/>
          <w:u w:val="none"/>
          <w:shd w:val="clear" w:fill="auto"/>
          <w:vertAlign w:val="baseline"/>
        </w:rPr>
      </w:pPr>
      <w:r>
        <w:rPr>
          <w:rFonts w:ascii="Times New Roman" w:hAnsi="Times New Roman" w:eastAsia="Times New Roman" w:cs="Times New Roman"/>
          <w:b/>
          <w:bCs/>
          <w:i w:val="0"/>
          <w:iCs w:val="0"/>
          <w:smallCaps w:val="0"/>
          <w:strike w:val="0"/>
          <w:color w:val="2E75B5"/>
          <w:sz w:val="32"/>
          <w:szCs w:val="32"/>
          <w:u w:val="none"/>
          <w:shd w:val="clear" w:fill="auto"/>
          <w:vertAlign w:val="baseline"/>
          <w:rtl w:val="0"/>
        </w:rPr>
        <w:t>Table of Contents</w:t>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 Record of Changes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II. Project Introduction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 Overview</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1.1 Project Information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1.2 Project Team</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2. Product Background</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 Existing Systems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3.1 SAP Extended Warehouse Management</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3.2 Microsoft Dynamics 365 Supply Chain Management</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3.3 Odoo Inventory</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3.4 Oracle NetSuite WMS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 Business Opportunity</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 Software Product Vision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 Project Scope &amp; Limitations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6.1 Major Features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6.2 Limitations &amp; Exclusions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p w14:paraId="00000027">
      <w:pPr>
        <w:rPr>
          <w:rFonts w:ascii="Times New Roman" w:hAnsi="Times New Roman" w:eastAsia="Times New Roman" w:cs="Times New Roman"/>
        </w:rPr>
      </w:pPr>
    </w:p>
    <w:p w14:paraId="00000028">
      <w:pPr>
        <w:rPr>
          <w:rFonts w:ascii="Times New Roman" w:hAnsi="Times New Roman" w:eastAsia="Times New Roman" w:cs="Times New Roman"/>
          <w:b/>
          <w:bCs/>
          <w:color w:val="C00000"/>
          <w:sz w:val="32"/>
          <w:szCs w:val="32"/>
        </w:rPr>
      </w:pPr>
      <w:r>
        <w:br w:type="page"/>
      </w:r>
    </w:p>
    <w:p w14:paraId="00000029">
      <w:pPr>
        <w:pStyle w:val="2"/>
        <w:rPr>
          <w:rFonts w:ascii="Times New Roman" w:hAnsi="Times New Roman" w:eastAsia="Times New Roman" w:cs="Times New Roman"/>
        </w:rPr>
      </w:pPr>
      <w:bookmarkStart w:id="0" w:name="_heading=h.ogc20wha5tw1" w:colFirst="0" w:colLast="0"/>
      <w:bookmarkEnd w:id="0"/>
      <w:r>
        <w:rPr>
          <w:rFonts w:ascii="Times New Roman" w:hAnsi="Times New Roman" w:eastAsia="Times New Roman" w:cs="Times New Roman"/>
          <w:rtl w:val="0"/>
        </w:rPr>
        <w:t>I. Record of Changes</w:t>
      </w:r>
    </w:p>
    <w:tbl>
      <w:tblPr>
        <w:tblStyle w:val="32"/>
        <w:tblW w:w="8804"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990"/>
        <w:gridCol w:w="810"/>
        <w:gridCol w:w="1234"/>
        <w:gridCol w:w="5770"/>
      </w:tblGrid>
      <w:tr w14:paraId="2A262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Date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A*</w:t>
            </w: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br w:type="textWrapping"/>
            </w: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M, D</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In charge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Change Description</w:t>
            </w:r>
          </w:p>
        </w:tc>
      </w:tr>
      <w:tr w14:paraId="37881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15/09/2026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A</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Trương Lê Huy Hoàng</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 xml:space="preserve">Initial version of the FSCM Project Introduction </w:t>
            </w:r>
          </w:p>
        </w:tc>
      </w:tr>
      <w:tr w14:paraId="37CDC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24/09/2026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M</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Trương Lê Huy Hoàng</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2638AA6">
            <w:r>
              <w:t>Aligned Sections 1–6 with the finalized scope and state rules</w:t>
            </w:r>
          </w:p>
        </w:tc>
      </w:tr>
      <w:tr w14:paraId="6B1B1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13B52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49664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5388E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0188B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67D39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11737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302E6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75362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01FA4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21BD3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bl>
    <w:p w14:paraId="00000062">
      <w:pPr>
        <w:rPr>
          <w:rFonts w:ascii="Times New Roman" w:hAnsi="Times New Roman" w:eastAsia="Times New Roman" w:cs="Times New Roman"/>
          <w:sz w:val="28"/>
          <w:szCs w:val="28"/>
        </w:rPr>
      </w:pPr>
      <w:r>
        <w:rPr>
          <w:rFonts w:ascii="Times New Roman" w:hAnsi="Times New Roman" w:eastAsia="Times New Roman" w:cs="Times New Roman"/>
          <w:rtl w:val="0"/>
        </w:rPr>
        <w:t>*A - Added M - Modified D - Deleted</w:t>
      </w:r>
    </w:p>
    <w:p w14:paraId="00000063">
      <w:pPr>
        <w:rPr>
          <w:rFonts w:ascii="Times New Roman" w:hAnsi="Times New Roman" w:eastAsia="Times New Roman" w:cs="Times New Roman"/>
        </w:rPr>
      </w:pPr>
    </w:p>
    <w:p w14:paraId="00000064">
      <w:pPr>
        <w:rPr>
          <w:rFonts w:ascii="Times New Roman" w:hAnsi="Times New Roman" w:eastAsia="Times New Roman" w:cs="Times New Roman"/>
        </w:rPr>
      </w:pPr>
      <w:r>
        <w:br w:type="page"/>
      </w:r>
    </w:p>
    <w:p w14:paraId="00000065">
      <w:pPr>
        <w:pStyle w:val="2"/>
        <w:rPr>
          <w:rFonts w:ascii="Times New Roman" w:hAnsi="Times New Roman" w:eastAsia="Times New Roman" w:cs="Times New Roman"/>
        </w:rPr>
      </w:pPr>
      <w:bookmarkStart w:id="1" w:name="_heading=h.jtevu5u2zrhl" w:colFirst="0" w:colLast="0"/>
      <w:bookmarkEnd w:id="1"/>
      <w:r>
        <w:rPr>
          <w:rFonts w:ascii="Times New Roman" w:hAnsi="Times New Roman" w:eastAsia="Times New Roman" w:cs="Times New Roman"/>
          <w:rtl w:val="0"/>
        </w:rPr>
        <w:t>II. Project Introduction</w:t>
      </w:r>
    </w:p>
    <w:p w14:paraId="00000066">
      <w:pPr>
        <w:pStyle w:val="3"/>
        <w:rPr>
          <w:rFonts w:ascii="Times New Roman" w:hAnsi="Times New Roman" w:eastAsia="Times New Roman" w:cs="Times New Roman"/>
        </w:rPr>
      </w:pPr>
      <w:bookmarkStart w:id="2" w:name="_heading=h.asgwwfz6ocga" w:colFirst="0" w:colLast="0"/>
      <w:bookmarkEnd w:id="2"/>
      <w:r>
        <w:rPr>
          <w:rFonts w:ascii="Times New Roman" w:hAnsi="Times New Roman" w:eastAsia="Times New Roman" w:cs="Times New Roman"/>
          <w:rtl w:val="0"/>
        </w:rPr>
        <w:t>1. Overview</w:t>
      </w:r>
    </w:p>
    <w:p w14:paraId="00000067">
      <w:pPr>
        <w:pStyle w:val="4"/>
        <w:rPr>
          <w:rFonts w:ascii="Times New Roman" w:hAnsi="Times New Roman" w:eastAsia="Times New Roman" w:cs="Times New Roman"/>
        </w:rPr>
      </w:pPr>
      <w:bookmarkStart w:id="3" w:name="_heading=h.7cvnvpg8y4sh" w:colFirst="0" w:colLast="0"/>
      <w:bookmarkEnd w:id="3"/>
      <w:r>
        <w:rPr>
          <w:rFonts w:ascii="Times New Roman" w:hAnsi="Times New Roman" w:eastAsia="Times New Roman" w:cs="Times New Roman"/>
          <w:rtl w:val="0"/>
        </w:rPr>
        <w:t>1.1 Project Information</w:t>
      </w:r>
    </w:p>
    <w:p w14:paraId="000000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Project name: FSCM – </w:t>
      </w:r>
      <w:r>
        <w:rPr>
          <w:rFonts w:hint="default" w:ascii="Times New Roman" w:hAnsi="Times New Roman" w:eastAsia="SimSun" w:cs="Times New Roman"/>
          <w:i w:val="0"/>
          <w:iCs w:val="0"/>
          <w:caps w:val="0"/>
          <w:color w:val="222222"/>
          <w:spacing w:val="0"/>
          <w:sz w:val="22"/>
          <w:szCs w:val="22"/>
          <w:shd w:val="clear" w:fill="FFFFFF"/>
        </w:rPr>
        <w:t>Short Shelf-Life FMCG Supply Chain Management and Distribution Coordination System with FEFO Optimization</w:t>
      </w:r>
    </w:p>
    <w:p w14:paraId="00000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Project code: </w:t>
      </w:r>
      <w:r>
        <w:rPr>
          <w:rFonts w:ascii="Times New Roman" w:hAnsi="Times New Roman" w:eastAsia="Times New Roman" w:cs="Times New Roman"/>
          <w:b w:val="0"/>
          <w:bCs w:val="0"/>
          <w:i w:val="0"/>
          <w:iCs w:val="0"/>
          <w:smallCaps w:val="0"/>
          <w:strike w:val="0"/>
          <w:color w:val="000000"/>
          <w:sz w:val="22"/>
          <w:szCs w:val="22"/>
          <w:highlight w:val="white"/>
          <w:u w:val="none"/>
          <w:vertAlign w:val="baseline"/>
          <w:rtl w:val="0"/>
        </w:rPr>
        <w:t>FA26SE083</w:t>
      </w:r>
    </w:p>
    <w:p w14:paraId="0000006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Group name: </w:t>
      </w:r>
      <w:r>
        <w:rPr>
          <w:rFonts w:ascii="Times New Roman" w:hAnsi="Times New Roman" w:eastAsia="Times New Roman" w:cs="Times New Roman"/>
          <w:b w:val="0"/>
          <w:bCs w:val="0"/>
          <w:i w:val="0"/>
          <w:iCs w:val="0"/>
          <w:smallCaps w:val="0"/>
          <w:strike w:val="0"/>
          <w:color w:val="000000"/>
          <w:sz w:val="22"/>
          <w:szCs w:val="22"/>
          <w:highlight w:val="white"/>
          <w:u w:val="none"/>
          <w:vertAlign w:val="baseline"/>
          <w:rtl w:val="0"/>
        </w:rPr>
        <w:t>GFA26SE63</w:t>
      </w:r>
    </w:p>
    <w:p w14:paraId="0000006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Software type: Web Application and Mobile Application</w:t>
      </w:r>
    </w:p>
    <w:p w14:paraId="0000006C">
      <w:pPr>
        <w:pStyle w:val="4"/>
        <w:rPr>
          <w:rFonts w:ascii="Times New Roman" w:hAnsi="Times New Roman" w:eastAsia="Times New Roman" w:cs="Times New Roman"/>
        </w:rPr>
      </w:pPr>
      <w:bookmarkStart w:id="4" w:name="_heading=h.lssh9brogmqs" w:colFirst="0" w:colLast="0"/>
      <w:bookmarkEnd w:id="4"/>
      <w:r>
        <w:rPr>
          <w:rFonts w:ascii="Times New Roman" w:hAnsi="Times New Roman" w:eastAsia="Times New Roman" w:cs="Times New Roman"/>
          <w:rtl w:val="0"/>
        </w:rPr>
        <w:t>1.2 Project Team</w:t>
      </w:r>
    </w:p>
    <w:tbl>
      <w:tblPr>
        <w:tblStyle w:val="33"/>
        <w:tblW w:w="8647"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0"/>
        <w:gridCol w:w="1275"/>
        <w:gridCol w:w="3261"/>
        <w:gridCol w:w="1701"/>
      </w:tblGrid>
      <w:tr w14:paraId="7E738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6D">
            <w:pPr>
              <w:spacing w:after="0" w:line="273" w:lineRule="auto"/>
              <w:ind w:left="107" w:hanging="107"/>
              <w:jc w:val="both"/>
              <w:rPr>
                <w:rFonts w:ascii="Times New Roman" w:hAnsi="Times New Roman" w:eastAsia="Times New Roman" w:cs="Times New Roman"/>
                <w:b/>
                <w:bCs/>
                <w:i w:val="0"/>
                <w:iCs w:val="0"/>
                <w:sz w:val="22"/>
                <w:szCs w:val="22"/>
                <w:u w:val="none"/>
              </w:rPr>
            </w:pPr>
            <w:r>
              <w:rPr>
                <w:rFonts w:ascii="Times New Roman" w:hAnsi="Times New Roman" w:eastAsia="Times New Roman" w:cs="Times New Roman"/>
                <w:b/>
                <w:bCs/>
                <w:i w:val="0"/>
                <w:iCs w:val="0"/>
                <w:sz w:val="22"/>
                <w:szCs w:val="22"/>
                <w:u w:val="none"/>
                <w:rtl w:val="0"/>
              </w:rPr>
              <w:t>Full Name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6E">
            <w:pPr>
              <w:spacing w:after="0" w:line="273" w:lineRule="auto"/>
              <w:ind w:left="107" w:hanging="107"/>
              <w:jc w:val="both"/>
              <w:rPr>
                <w:rFonts w:ascii="Times New Roman" w:hAnsi="Times New Roman" w:eastAsia="Times New Roman" w:cs="Times New Roman"/>
                <w:b/>
                <w:bCs/>
                <w:i w:val="0"/>
                <w:iCs w:val="0"/>
                <w:sz w:val="24"/>
                <w:szCs w:val="24"/>
                <w:u w:val="none"/>
              </w:rPr>
            </w:pPr>
            <w:r>
              <w:rPr>
                <w:rFonts w:ascii="Times New Roman" w:hAnsi="Times New Roman" w:eastAsia="Times New Roman" w:cs="Times New Roman"/>
                <w:b/>
                <w:bCs/>
                <w:i w:val="0"/>
                <w:iCs w:val="0"/>
                <w:sz w:val="22"/>
                <w:szCs w:val="22"/>
                <w:u w:val="none"/>
                <w:rtl w:val="0"/>
              </w:rPr>
              <w:t>Role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6F">
            <w:pPr>
              <w:spacing w:after="0" w:line="273" w:lineRule="auto"/>
              <w:ind w:left="107" w:hanging="107"/>
              <w:jc w:val="both"/>
              <w:rPr>
                <w:rFonts w:ascii="Times New Roman" w:hAnsi="Times New Roman" w:eastAsia="Times New Roman" w:cs="Times New Roman"/>
                <w:b/>
                <w:bCs/>
                <w:i w:val="0"/>
                <w:iCs w:val="0"/>
                <w:sz w:val="22"/>
                <w:szCs w:val="22"/>
                <w:u w:val="none"/>
              </w:rPr>
            </w:pPr>
            <w:r>
              <w:rPr>
                <w:rFonts w:ascii="Times New Roman" w:hAnsi="Times New Roman" w:eastAsia="Times New Roman" w:cs="Times New Roman"/>
                <w:b/>
                <w:bCs/>
                <w:i w:val="0"/>
                <w:iCs w:val="0"/>
                <w:sz w:val="22"/>
                <w:szCs w:val="22"/>
                <w:u w:val="none"/>
                <w:rtl w:val="0"/>
              </w:rPr>
              <w:t>Email</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70">
            <w:pPr>
              <w:spacing w:before="2" w:after="0" w:line="240" w:lineRule="auto"/>
              <w:ind w:left="107" w:right="-108" w:hanging="107"/>
              <w:jc w:val="both"/>
              <w:rPr>
                <w:rFonts w:ascii="Times New Roman" w:hAnsi="Times New Roman" w:eastAsia="Times New Roman" w:cs="Times New Roman"/>
                <w:b/>
                <w:bCs/>
                <w:i w:val="0"/>
                <w:iCs w:val="0"/>
                <w:sz w:val="22"/>
                <w:szCs w:val="22"/>
                <w:u w:val="none"/>
              </w:rPr>
            </w:pPr>
            <w:r>
              <w:rPr>
                <w:rFonts w:ascii="Times New Roman" w:hAnsi="Times New Roman" w:eastAsia="Times New Roman" w:cs="Times New Roman"/>
                <w:b/>
                <w:bCs/>
                <w:i w:val="0"/>
                <w:iCs w:val="0"/>
                <w:sz w:val="22"/>
                <w:szCs w:val="22"/>
                <w:u w:val="none"/>
                <w:rtl w:val="0"/>
              </w:rPr>
              <w:t xml:space="preserve">  Mobile</w:t>
            </w:r>
          </w:p>
        </w:tc>
      </w:tr>
      <w:tr w14:paraId="1FE3F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1">
            <w:pPr>
              <w:spacing w:after="0" w:line="254"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 Thi Quynh Chi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2">
            <w:pPr>
              <w:spacing w:after="0" w:line="254" w:lineRule="auto"/>
              <w:ind w:left="107" w:hanging="107"/>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Lecturer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3">
            <w:pPr>
              <w:spacing w:after="0" w:line="254"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w:t>
            </w:r>
            <w:r>
              <w:fldChar w:fldCharType="begin"/>
            </w:r>
            <w:r>
              <w:instrText xml:space="preserve"> HYPERLINK "mailto:chiltq6@fe.edu.vn" \h </w:instrText>
            </w:r>
            <w:r>
              <w:fldChar w:fldCharType="separate"/>
            </w:r>
            <w:r>
              <w:rPr>
                <w:rFonts w:ascii="Times New Roman" w:hAnsi="Times New Roman" w:eastAsia="Times New Roman" w:cs="Times New Roman"/>
                <w:color w:val="1155CC"/>
                <w:sz w:val="24"/>
                <w:szCs w:val="24"/>
                <w:u w:val="single"/>
                <w:rtl w:val="0"/>
              </w:rPr>
              <w:t>chiltq6@fe.edu.vn</w:t>
            </w:r>
            <w:r>
              <w:rPr>
                <w:rFonts w:ascii="Times New Roman" w:hAnsi="Times New Roman" w:eastAsia="Times New Roman" w:cs="Times New Roman"/>
                <w:color w:val="1155CC"/>
                <w:sz w:val="24"/>
                <w:szCs w:val="24"/>
                <w:u w:val="single"/>
                <w:rtl w:val="0"/>
              </w:rPr>
              <w:fldChar w:fldCharType="end"/>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4">
            <w:pPr>
              <w:spacing w:after="0" w:line="254"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w:t>
            </w:r>
          </w:p>
        </w:tc>
      </w:tr>
      <w:tr w14:paraId="2E066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5">
            <w:pPr>
              <w:spacing w:after="0" w:line="252"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Nguyen Thien Nhan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6">
            <w:pPr>
              <w:spacing w:after="0" w:line="252"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Leader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7">
            <w:pPr>
              <w:spacing w:after="0" w:line="252"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NhanNTSE184555@fpt.edu.vn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8">
            <w:pPr>
              <w:spacing w:after="0" w:line="252" w:lineRule="auto"/>
              <w:ind w:left="107" w:hanging="107"/>
              <w:jc w:val="both"/>
              <w:rPr>
                <w:rFonts w:ascii="Times New Roman" w:hAnsi="Times New Roman" w:eastAsia="Times New Roman" w:cs="Times New Roman"/>
                <w:sz w:val="22"/>
                <w:szCs w:val="22"/>
              </w:rPr>
            </w:pPr>
          </w:p>
        </w:tc>
      </w:tr>
      <w:tr w14:paraId="097FB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9">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Tran Ngoc Khiet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A">
            <w:pPr>
              <w:spacing w:after="0" w:line="254"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B">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tranngockhiet22062005@gmail.com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C">
            <w:pPr>
              <w:spacing w:after="0" w:line="254" w:lineRule="auto"/>
              <w:ind w:left="107" w:hanging="107"/>
              <w:jc w:val="both"/>
              <w:rPr>
                <w:rFonts w:ascii="Times New Roman" w:hAnsi="Times New Roman" w:eastAsia="Times New Roman" w:cs="Times New Roman"/>
                <w:sz w:val="22"/>
                <w:szCs w:val="22"/>
              </w:rPr>
            </w:pPr>
          </w:p>
        </w:tc>
      </w:tr>
      <w:tr w14:paraId="72646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D">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Doan Duc Hai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E">
            <w:pPr>
              <w:spacing w:after="0" w:line="254"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F">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beu2901@gmail.com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0">
            <w:pPr>
              <w:spacing w:after="0" w:line="254" w:lineRule="auto"/>
              <w:ind w:left="107" w:hanging="107"/>
              <w:jc w:val="both"/>
              <w:rPr>
                <w:rFonts w:ascii="Times New Roman" w:hAnsi="Times New Roman" w:eastAsia="Times New Roman" w:cs="Times New Roman"/>
                <w:sz w:val="22"/>
                <w:szCs w:val="22"/>
              </w:rPr>
            </w:pPr>
          </w:p>
        </w:tc>
      </w:tr>
      <w:tr w14:paraId="54F73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1">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Vo Minh Son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2">
            <w:pPr>
              <w:spacing w:after="0" w:line="254"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3">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vominhson310805@gmail.com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4">
            <w:pPr>
              <w:spacing w:after="0" w:line="254" w:lineRule="auto"/>
              <w:ind w:left="107" w:hanging="107"/>
              <w:jc w:val="both"/>
              <w:rPr>
                <w:rFonts w:ascii="Times New Roman" w:hAnsi="Times New Roman" w:eastAsia="Times New Roman" w:cs="Times New Roman"/>
                <w:sz w:val="22"/>
                <w:szCs w:val="22"/>
              </w:rPr>
            </w:pPr>
          </w:p>
        </w:tc>
      </w:tr>
      <w:tr w14:paraId="290A4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5">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Truong Le Huy Hoang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6">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7">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hoanghuypeter1182004@gmail.com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8">
            <w:pPr>
              <w:spacing w:after="0" w:line="254" w:lineRule="auto"/>
              <w:ind w:left="107" w:hanging="107"/>
              <w:jc w:val="both"/>
              <w:rPr>
                <w:rFonts w:ascii="Times New Roman" w:hAnsi="Times New Roman" w:eastAsia="Times New Roman" w:cs="Times New Roman"/>
                <w:sz w:val="22"/>
                <w:szCs w:val="22"/>
              </w:rPr>
            </w:pPr>
          </w:p>
        </w:tc>
      </w:tr>
    </w:tbl>
    <w:p w14:paraId="00000089">
      <w:pPr>
        <w:rPr>
          <w:rFonts w:ascii="Times New Roman" w:hAnsi="Times New Roman" w:eastAsia="Times New Roman" w:cs="Times New Roman"/>
        </w:rPr>
      </w:pPr>
    </w:p>
    <w:p w14:paraId="0000008A">
      <w:pPr>
        <w:rPr>
          <w:rFonts w:ascii="Times New Roman" w:hAnsi="Times New Roman" w:eastAsia="Times New Roman" w:cs="Times New Roman"/>
        </w:rPr>
      </w:pPr>
    </w:p>
    <w:p w14:paraId="0000008B">
      <w:pPr>
        <w:pStyle w:val="3"/>
        <w:keepNext/>
        <w:rPr>
          <w:rFonts w:ascii="Times New Roman" w:hAnsi="Times New Roman" w:eastAsia="Times New Roman" w:cs="Times New Roman"/>
        </w:rPr>
      </w:pPr>
      <w:r>
        <w:rPr>
          <w:rFonts w:ascii="Times New Roman" w:hAnsi="Times New Roman" w:eastAsia="Times New Roman" w:cs="Times New Roman"/>
          <w:rtl w:val="0"/>
        </w:rPr>
        <w:t>2. Product Background</w:t>
      </w:r>
    </w:p>
    <w:p w14:paraId="0000008C">
      <w:pPr>
        <w:jc w:val="left"/>
        <w:rPr>
          <w:rFonts w:ascii="Times New Roman" w:hAnsi="Times New Roman" w:eastAsia="Times New Roman" w:cs="Times New Roman"/>
        </w:rPr>
      </w:pPr>
      <w:r>
        <w:rPr>
          <w:rFonts w:ascii="Times New Roman" w:hAnsi="Times New Roman" w:eastAsia="Times New Roman" w:cs="Times New Roman"/>
          <w:rtl w:val="0"/>
        </w:rPr>
        <w:t>Short shelf-life FMCG products such as dairy, fresh bakery items, and chilled goods must be controlled by Batch/Lot and expiration date. Spreadsheets and general inventory tools can show stock totals, but they do not consistently determine which eligible batch should be allocated to an order. FIFO alone is insufficient because a later receipt may expire earlier than an older receipt.</w:t>
      </w:r>
    </w:p>
    <w:p w14:paraId="0000008D">
      <w:pPr>
        <w:jc w:val="left"/>
        <w:rPr>
          <w:rFonts w:ascii="Times New Roman" w:hAnsi="Times New Roman" w:eastAsia="Times New Roman" w:cs="Times New Roman"/>
        </w:rPr>
      </w:pPr>
      <w:r>
        <w:rPr>
          <w:rFonts w:ascii="Times New Roman" w:hAnsi="Times New Roman" w:eastAsia="Times New Roman" w:cs="Times New Roman"/>
          <w:rtl w:val="0"/>
        </w:rPr>
        <w:t>The target operation is one FMCG distributor that manages a network of warehouses and supplies retail stores. The warehouses are operating locations in the same enterprise and are not divided into a fixed hierarchy. A Sales Representative creates the retail-store order, while the Retail Store Manager participates at receipt confirmation rather than order placement.</w:t>
      </w:r>
    </w:p>
    <w:p w14:paraId="0000008E">
      <w:pPr>
        <w:jc w:val="left"/>
        <w:rPr>
          <w:rFonts w:ascii="Times New Roman" w:hAnsi="Times New Roman" w:eastAsia="Times New Roman" w:cs="Times New Roman"/>
        </w:rPr>
      </w:pPr>
      <w:r>
        <w:rPr>
          <w:rFonts w:ascii="Times New Roman" w:hAnsi="Times New Roman" w:eastAsia="Times New Roman" w:cs="Times New Roman"/>
          <w:rtl w:val="0"/>
        </w:rPr>
        <w:t>FSCM connects approved goods receipt, Batch/Lot inventory, mandatory offline-first mobile ordering for Sales Representatives, order approval, ETA–MLOR eligibility, FEFO allocation, reservation, picking, dispatch evidence, and retail receipt reconciliation. The system separately tracks batch lifecycle, allocation outcomes, and the core order lifecycle so that inventory, reservations, backorders, cancellations, and dispatch records remain auditable.</w:t>
      </w:r>
    </w:p>
    <w:p w14:paraId="0000008F">
      <w:pPr>
        <w:widowControl/>
        <w:jc w:val="both"/>
        <w:rPr>
          <w:rFonts w:ascii="Times New Roman" w:hAnsi="Times New Roman" w:eastAsia="Times New Roman" w:cs="Times New Roman"/>
          <w:sz w:val="22"/>
          <w:szCs w:val="22"/>
        </w:rPr>
      </w:pPr>
    </w:p>
    <w:p w14:paraId="00000090">
      <w:pPr>
        <w:pStyle w:val="3"/>
        <w:keepNext/>
        <w:rPr>
          <w:rFonts w:ascii="Times New Roman" w:hAnsi="Times New Roman" w:eastAsia="Times New Roman" w:cs="Times New Roman"/>
        </w:rPr>
      </w:pPr>
      <w:r>
        <w:rPr>
          <w:rFonts w:ascii="Times New Roman" w:hAnsi="Times New Roman" w:eastAsia="Times New Roman" w:cs="Times New Roman"/>
          <w:rtl w:val="0"/>
        </w:rPr>
        <w:t>3. Existing Systems</w:t>
      </w:r>
    </w:p>
    <w:p w14:paraId="00000091">
      <w:pPr>
        <w:widowControl/>
        <w:jc w:val="left"/>
        <w:rPr>
          <w:rFonts w:ascii="Times New Roman" w:hAnsi="Times New Roman" w:eastAsia="Times New Roman" w:cs="Times New Roman"/>
        </w:rPr>
      </w:pPr>
      <w:r>
        <w:rPr>
          <w:rFonts w:ascii="Times New Roman" w:hAnsi="Times New Roman" w:eastAsia="Times New Roman" w:cs="Times New Roman"/>
          <w:sz w:val="22"/>
          <w:szCs w:val="22"/>
          <w:rtl w:val="0"/>
        </w:rPr>
        <w:t>The following products provide useful references for batch inventory, FEFO picking, and reservation. FSCM adopts relevant concepts while narrowing the solution to the project's retailer-order allocation problem.</w:t>
      </w:r>
    </w:p>
    <w:p w14:paraId="00000092">
      <w:pPr>
        <w:pStyle w:val="4"/>
        <w:keepNext/>
        <w:rPr>
          <w:rFonts w:ascii="Times New Roman" w:hAnsi="Times New Roman" w:eastAsia="Times New Roman" w:cs="Times New Roman"/>
        </w:rPr>
      </w:pPr>
      <w:r>
        <w:rPr>
          <w:rFonts w:ascii="Times New Roman" w:hAnsi="Times New Roman" w:eastAsia="Times New Roman" w:cs="Times New Roman"/>
          <w:rtl w:val="0"/>
        </w:rPr>
        <w:t>3.1 SAP Extended Warehouse Management</w:t>
      </w:r>
    </w:p>
    <w:p w14:paraId="00000093">
      <w:pPr>
        <w:widowControl/>
        <w:jc w:val="left"/>
        <w:rPr>
          <w:rFonts w:ascii="Times New Roman" w:hAnsi="Times New Roman" w:eastAsia="Times New Roman" w:cs="Times New Roman"/>
        </w:rPr>
      </w:pPr>
      <w:r>
        <w:rPr>
          <w:rFonts w:ascii="Times New Roman" w:hAnsi="Times New Roman" w:eastAsia="Times New Roman" w:cs="Times New Roman"/>
          <w:b/>
          <w:bCs/>
          <w:sz w:val="22"/>
          <w:szCs w:val="22"/>
          <w:rtl w:val="0"/>
        </w:rPr>
        <w:t xml:space="preserve">Users: </w:t>
      </w:r>
      <w:r>
        <w:rPr>
          <w:rFonts w:ascii="Times New Roman" w:hAnsi="Times New Roman" w:eastAsia="Times New Roman" w:cs="Times New Roman"/>
          <w:b w:val="0"/>
          <w:bCs w:val="0"/>
          <w:sz w:val="22"/>
          <w:szCs w:val="22"/>
          <w:rtl w:val="0"/>
        </w:rPr>
        <w:t xml:space="preserve">warehouse managers and warehouse operators. </w:t>
      </w:r>
      <w:r>
        <w:rPr>
          <w:rFonts w:ascii="Times New Roman" w:hAnsi="Times New Roman" w:eastAsia="Times New Roman" w:cs="Times New Roman"/>
          <w:b/>
          <w:bCs/>
          <w:sz w:val="22"/>
          <w:szCs w:val="22"/>
          <w:rtl w:val="0"/>
        </w:rPr>
        <w:t xml:space="preserve">Relevant capabilities: </w:t>
      </w:r>
      <w:r>
        <w:rPr>
          <w:rFonts w:ascii="Times New Roman" w:hAnsi="Times New Roman" w:eastAsia="Times New Roman" w:cs="Times New Roman"/>
          <w:b w:val="0"/>
          <w:bCs w:val="0"/>
          <w:sz w:val="22"/>
          <w:szCs w:val="22"/>
          <w:rtl w:val="0"/>
        </w:rPr>
        <w:t xml:space="preserve">batch stock, shelf-life expiration dates, warehouse execution, and delivery scheduling. </w:t>
      </w:r>
      <w:r>
        <w:rPr>
          <w:rFonts w:ascii="Times New Roman" w:hAnsi="Times New Roman" w:eastAsia="Times New Roman" w:cs="Times New Roman"/>
          <w:b/>
          <w:bCs/>
          <w:sz w:val="22"/>
          <w:szCs w:val="22"/>
          <w:rtl w:val="0"/>
        </w:rPr>
        <w:t xml:space="preserve">Strength: </w:t>
      </w:r>
      <w:r>
        <w:rPr>
          <w:rFonts w:ascii="Times New Roman" w:hAnsi="Times New Roman" w:eastAsia="Times New Roman" w:cs="Times New Roman"/>
          <w:b w:val="0"/>
          <w:bCs w:val="0"/>
          <w:sz w:val="22"/>
          <w:szCs w:val="22"/>
          <w:rtl w:val="0"/>
        </w:rPr>
        <w:t xml:space="preserve">mature control for complex enterprise warehouses. </w:t>
      </w:r>
      <w:r>
        <w:rPr>
          <w:rFonts w:ascii="Times New Roman" w:hAnsi="Times New Roman" w:eastAsia="Times New Roman" w:cs="Times New Roman"/>
          <w:b/>
          <w:bCs/>
          <w:sz w:val="22"/>
          <w:szCs w:val="22"/>
          <w:rtl w:val="0"/>
        </w:rPr>
        <w:t xml:space="preserve">Gap for this project: </w:t>
      </w:r>
      <w:r>
        <w:rPr>
          <w:rFonts w:ascii="Times New Roman" w:hAnsi="Times New Roman" w:eastAsia="Times New Roman" w:cs="Times New Roman"/>
          <w:b w:val="0"/>
          <w:bCs w:val="0"/>
          <w:sz w:val="22"/>
          <w:szCs w:val="22"/>
          <w:rtl w:val="0"/>
        </w:rPr>
        <w:t>its enterprise breadth and configuration effort exceed the focused MVP required for an SME distributor.</w:t>
      </w:r>
    </w:p>
    <w:p w14:paraId="00000094">
      <w:pPr>
        <w:keepNext w:val="0"/>
        <w:ind w:left="360" w:firstLine="0"/>
        <w:jc w:val="left"/>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"https://help.sap.com/docs/SAP_ERP/34fc810a607e4ae5a287b6e233b8566f/f18ec95360267214e10000000a174cb4.html" \h </w:instrText>
      </w:r>
      <w:r>
        <w:fldChar w:fldCharType="separate"/>
      </w:r>
      <w:r>
        <w:rPr>
          <w:rFonts w:ascii="Times New Roman" w:hAnsi="Times New Roman" w:eastAsia="Times New Roman" w:cs="Times New Roman"/>
          <w:color w:val="0563C1"/>
          <w:sz w:val="22"/>
          <w:szCs w:val="22"/>
          <w:u w:val="single"/>
          <w:rtl w:val="0"/>
        </w:rPr>
        <w:t>https://help.sap.com/docs/SAP_ERP/34fc810a607e4ae5a287b6e233b8566f/f18ec95360267214e10000000a174cb4.html</w:t>
      </w:r>
      <w:r>
        <w:rPr>
          <w:rFonts w:ascii="Times New Roman" w:hAnsi="Times New Roman" w:eastAsia="Times New Roman" w:cs="Times New Roman"/>
          <w:color w:val="0563C1"/>
          <w:sz w:val="22"/>
          <w:szCs w:val="22"/>
          <w:u w:val="single"/>
          <w:rtl w:val="0"/>
        </w:rPr>
        <w:fldChar w:fldCharType="end"/>
      </w:r>
    </w:p>
    <w:p w14:paraId="00000095">
      <w:pPr>
        <w:pStyle w:val="4"/>
        <w:keepNext/>
        <w:rPr>
          <w:rFonts w:ascii="Times New Roman" w:hAnsi="Times New Roman" w:eastAsia="Times New Roman" w:cs="Times New Roman"/>
        </w:rPr>
      </w:pPr>
      <w:r>
        <w:rPr>
          <w:rFonts w:ascii="Times New Roman" w:hAnsi="Times New Roman" w:eastAsia="Times New Roman" w:cs="Times New Roman"/>
          <w:rtl w:val="0"/>
        </w:rPr>
        <w:t>3.2 Microsoft Dynamics 365 Supply Chain Management</w:t>
      </w:r>
    </w:p>
    <w:p w14:paraId="00000096">
      <w:pPr>
        <w:widowControl/>
        <w:jc w:val="left"/>
        <w:rPr>
          <w:rFonts w:ascii="Times New Roman" w:hAnsi="Times New Roman" w:eastAsia="Times New Roman" w:cs="Times New Roman"/>
        </w:rPr>
      </w:pPr>
      <w:r>
        <w:rPr>
          <w:rFonts w:ascii="Times New Roman" w:hAnsi="Times New Roman" w:eastAsia="Times New Roman" w:cs="Times New Roman"/>
          <w:b/>
          <w:bCs/>
          <w:sz w:val="22"/>
          <w:szCs w:val="22"/>
          <w:rtl w:val="0"/>
        </w:rPr>
        <w:t>Users: inventory, order, and warehouse teams. Relevant capabilities: sales-order inventory reservation, batch control, and warehouse reservation policies. Strength: integrated order and inventory visibility. Gap for this project: FSCM requires an explicit ETA–MLOR eligibility check and a focused multi-warehouse allocation and partial-fulfillment flow.</w:t>
      </w:r>
    </w:p>
    <w:p w14:paraId="00000097">
      <w:pPr>
        <w:keepNext w:val="0"/>
        <w:ind w:left="360" w:firstLine="0"/>
        <w:jc w:val="left"/>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"https://learn.microsoft.com/en-us/dynamics365/supply-chain/inventory/reserve-inventory-quantities" \h </w:instrText>
      </w:r>
      <w:r>
        <w:fldChar w:fldCharType="separate"/>
      </w:r>
      <w:r>
        <w:rPr>
          <w:rFonts w:ascii="Times New Roman" w:hAnsi="Times New Roman" w:eastAsia="Times New Roman" w:cs="Times New Roman"/>
          <w:color w:val="0563C1"/>
          <w:sz w:val="22"/>
          <w:szCs w:val="22"/>
          <w:u w:val="single"/>
          <w:rtl w:val="0"/>
        </w:rPr>
        <w:t>https://learn.microsoft.com/en-us/dynamics365/supply-chain/inventory/reserve-inventory-quantities</w:t>
      </w:r>
      <w:r>
        <w:rPr>
          <w:rFonts w:ascii="Times New Roman" w:hAnsi="Times New Roman" w:eastAsia="Times New Roman" w:cs="Times New Roman"/>
          <w:color w:val="0563C1"/>
          <w:sz w:val="22"/>
          <w:szCs w:val="22"/>
          <w:u w:val="single"/>
          <w:rtl w:val="0"/>
        </w:rPr>
        <w:fldChar w:fldCharType="end"/>
      </w:r>
    </w:p>
    <w:p w14:paraId="00000098">
      <w:pPr>
        <w:pStyle w:val="4"/>
        <w:keepNext/>
        <w:rPr>
          <w:rFonts w:ascii="Times New Roman" w:hAnsi="Times New Roman" w:eastAsia="Times New Roman" w:cs="Times New Roman"/>
        </w:rPr>
      </w:pPr>
      <w:r>
        <w:rPr>
          <w:rFonts w:ascii="Times New Roman" w:hAnsi="Times New Roman" w:eastAsia="Times New Roman" w:cs="Times New Roman"/>
          <w:rtl w:val="0"/>
        </w:rPr>
        <w:t>3.3 Odoo Inventory</w:t>
      </w:r>
    </w:p>
    <w:p w14:paraId="00000099">
      <w:pPr>
        <w:widowControl/>
        <w:jc w:val="left"/>
        <w:rPr>
          <w:rFonts w:ascii="Times New Roman" w:hAnsi="Times New Roman" w:eastAsia="Times New Roman" w:cs="Times New Roman"/>
        </w:rPr>
      </w:pPr>
      <w:r>
        <w:rPr>
          <w:rFonts w:ascii="Times New Roman" w:hAnsi="Times New Roman" w:eastAsia="Times New Roman" w:cs="Times New Roman"/>
          <w:b/>
          <w:bCs/>
          <w:sz w:val="22"/>
          <w:szCs w:val="22"/>
          <w:rtl w:val="0"/>
        </w:rPr>
        <w:t xml:space="preserve">Users: </w:t>
      </w:r>
      <w:r>
        <w:rPr>
          <w:rFonts w:ascii="Times New Roman" w:hAnsi="Times New Roman" w:eastAsia="Times New Roman" w:cs="Times New Roman"/>
          <w:b w:val="0"/>
          <w:bCs w:val="0"/>
          <w:sz w:val="22"/>
          <w:szCs w:val="22"/>
          <w:rtl w:val="0"/>
        </w:rPr>
        <w:t xml:space="preserve">inventory managers, warehouse operators, and sales users. </w:t>
      </w:r>
      <w:r>
        <w:rPr>
          <w:rFonts w:ascii="Times New Roman" w:hAnsi="Times New Roman" w:eastAsia="Times New Roman" w:cs="Times New Roman"/>
          <w:b/>
          <w:bCs/>
          <w:sz w:val="22"/>
          <w:szCs w:val="22"/>
          <w:rtl w:val="0"/>
        </w:rPr>
        <w:t xml:space="preserve">Relevant capabilities: </w:t>
      </w:r>
      <w:r>
        <w:rPr>
          <w:rFonts w:ascii="Times New Roman" w:hAnsi="Times New Roman" w:eastAsia="Times New Roman" w:cs="Times New Roman"/>
          <w:b w:val="0"/>
          <w:bCs w:val="0"/>
          <w:sz w:val="22"/>
          <w:szCs w:val="22"/>
          <w:rtl w:val="0"/>
        </w:rPr>
        <w:t xml:space="preserve">lot tracking, expiration dates, and FEFO removal strategies. </w:t>
      </w:r>
      <w:r>
        <w:rPr>
          <w:rFonts w:ascii="Times New Roman" w:hAnsi="Times New Roman" w:eastAsia="Times New Roman" w:cs="Times New Roman"/>
          <w:b/>
          <w:bCs/>
          <w:sz w:val="22"/>
          <w:szCs w:val="22"/>
          <w:rtl w:val="0"/>
        </w:rPr>
        <w:t xml:space="preserve">Strength: </w:t>
      </w:r>
      <w:r>
        <w:rPr>
          <w:rFonts w:ascii="Times New Roman" w:hAnsi="Times New Roman" w:eastAsia="Times New Roman" w:cs="Times New Roman"/>
          <w:b w:val="0"/>
          <w:bCs w:val="0"/>
          <w:sz w:val="22"/>
          <w:szCs w:val="22"/>
          <w:rtl w:val="0"/>
        </w:rPr>
        <w:t xml:space="preserve">a modular and comparatively accessible inventory workflow. </w:t>
      </w:r>
      <w:r>
        <w:rPr>
          <w:rFonts w:ascii="Times New Roman" w:hAnsi="Times New Roman" w:eastAsia="Times New Roman" w:cs="Times New Roman"/>
          <w:b/>
          <w:bCs/>
          <w:sz w:val="22"/>
          <w:szCs w:val="22"/>
          <w:rtl w:val="0"/>
        </w:rPr>
        <w:t xml:space="preserve">Gap for this project: </w:t>
      </w:r>
      <w:r>
        <w:rPr>
          <w:rFonts w:ascii="Times New Roman" w:hAnsi="Times New Roman" w:eastAsia="Times New Roman" w:cs="Times New Roman"/>
          <w:b w:val="0"/>
          <w:bCs w:val="0"/>
          <w:sz w:val="22"/>
          <w:szCs w:val="22"/>
          <w:rtl w:val="0"/>
        </w:rPr>
        <w:t>standard FEFO removal does not express the project's ETA-based MLOR filter, atomic reservation, and split fulfillment rules as one process.</w:t>
      </w:r>
    </w:p>
    <w:p w14:paraId="0000009A">
      <w:pPr>
        <w:keepNext w:val="0"/>
        <w:ind w:left="360" w:firstLine="0"/>
        <w:jc w:val="left"/>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"https://www.odoo.com/documentation/19.0/applications/inventory_and_mrp/inventory/shipping_receiving/removal_strategies/fefo.html" \h </w:instrText>
      </w:r>
      <w:r>
        <w:fldChar w:fldCharType="separate"/>
      </w:r>
      <w:r>
        <w:rPr>
          <w:rFonts w:ascii="Times New Roman" w:hAnsi="Times New Roman" w:eastAsia="Times New Roman" w:cs="Times New Roman"/>
          <w:color w:val="0563C1"/>
          <w:sz w:val="22"/>
          <w:szCs w:val="22"/>
          <w:u w:val="single"/>
          <w:rtl w:val="0"/>
        </w:rPr>
        <w:t>https://www.odoo.com/documentation/19.0/applications/inventory_and_mrp/inventory/shipping_receiving/removal_strategies/fefo.html</w:t>
      </w:r>
      <w:r>
        <w:rPr>
          <w:rFonts w:ascii="Times New Roman" w:hAnsi="Times New Roman" w:eastAsia="Times New Roman" w:cs="Times New Roman"/>
          <w:color w:val="0563C1"/>
          <w:sz w:val="22"/>
          <w:szCs w:val="22"/>
          <w:u w:val="single"/>
          <w:rtl w:val="0"/>
        </w:rPr>
        <w:fldChar w:fldCharType="end"/>
      </w:r>
    </w:p>
    <w:p w14:paraId="0000009B">
      <w:pPr>
        <w:pStyle w:val="4"/>
        <w:keepNext/>
        <w:rPr>
          <w:rFonts w:ascii="Times New Roman" w:hAnsi="Times New Roman" w:eastAsia="Times New Roman" w:cs="Times New Roman"/>
        </w:rPr>
      </w:pPr>
      <w:r>
        <w:rPr>
          <w:rFonts w:ascii="Times New Roman" w:hAnsi="Times New Roman" w:eastAsia="Times New Roman" w:cs="Times New Roman"/>
          <w:rtl w:val="0"/>
        </w:rPr>
        <w:t>3.4 Oracle NetSuite WMS</w:t>
      </w:r>
    </w:p>
    <w:p w14:paraId="0000009C">
      <w:pPr>
        <w:widowControl/>
        <w:jc w:val="left"/>
        <w:rPr>
          <w:rFonts w:ascii="Times New Roman" w:hAnsi="Times New Roman" w:eastAsia="Times New Roman" w:cs="Times New Roman"/>
        </w:rPr>
      </w:pPr>
      <w:r>
        <w:rPr>
          <w:rFonts w:ascii="Times New Roman" w:hAnsi="Times New Roman" w:eastAsia="Times New Roman" w:cs="Times New Roman"/>
          <w:b/>
          <w:bCs/>
          <w:sz w:val="22"/>
          <w:szCs w:val="22"/>
          <w:rtl w:val="0"/>
        </w:rPr>
        <w:t xml:space="preserve">Users: </w:t>
      </w:r>
      <w:r>
        <w:rPr>
          <w:rFonts w:ascii="Times New Roman" w:hAnsi="Times New Roman" w:eastAsia="Times New Roman" w:cs="Times New Roman"/>
          <w:b w:val="0"/>
          <w:bCs w:val="0"/>
          <w:sz w:val="22"/>
          <w:szCs w:val="22"/>
          <w:rtl w:val="0"/>
        </w:rPr>
        <w:t xml:space="preserve">warehouse managers, order managers, and warehouse operators. </w:t>
      </w:r>
      <w:r>
        <w:rPr>
          <w:rFonts w:ascii="Times New Roman" w:hAnsi="Times New Roman" w:eastAsia="Times New Roman" w:cs="Times New Roman"/>
          <w:b/>
          <w:bCs/>
          <w:sz w:val="22"/>
          <w:szCs w:val="22"/>
          <w:rtl w:val="0"/>
        </w:rPr>
        <w:t xml:space="preserve">Relevant capabilities: </w:t>
      </w:r>
      <w:r>
        <w:rPr>
          <w:rFonts w:ascii="Times New Roman" w:hAnsi="Times New Roman" w:eastAsia="Times New Roman" w:cs="Times New Roman"/>
          <w:b w:val="0"/>
          <w:bCs w:val="0"/>
          <w:sz w:val="22"/>
          <w:szCs w:val="22"/>
          <w:rtl w:val="0"/>
        </w:rPr>
        <w:t xml:space="preserve">lot-numbered inventory, FEFO lot assignment, and expiry-date validation. </w:t>
      </w:r>
      <w:r>
        <w:rPr>
          <w:rFonts w:ascii="Times New Roman" w:hAnsi="Times New Roman" w:eastAsia="Times New Roman" w:cs="Times New Roman"/>
          <w:b/>
          <w:bCs/>
          <w:sz w:val="22"/>
          <w:szCs w:val="22"/>
          <w:rtl w:val="0"/>
        </w:rPr>
        <w:t xml:space="preserve">Strength: </w:t>
      </w:r>
      <w:r>
        <w:rPr>
          <w:rFonts w:ascii="Times New Roman" w:hAnsi="Times New Roman" w:eastAsia="Times New Roman" w:cs="Times New Roman"/>
          <w:b w:val="0"/>
          <w:bCs w:val="0"/>
          <w:sz w:val="22"/>
          <w:szCs w:val="22"/>
          <w:rtl w:val="0"/>
        </w:rPr>
        <w:t xml:space="preserve">FEFO support within a broader cloud ERP environment. </w:t>
      </w:r>
      <w:r>
        <w:rPr>
          <w:rFonts w:ascii="Times New Roman" w:hAnsi="Times New Roman" w:eastAsia="Times New Roman" w:cs="Times New Roman"/>
          <w:b/>
          <w:bCs/>
          <w:sz w:val="22"/>
          <w:szCs w:val="22"/>
          <w:rtl w:val="0"/>
        </w:rPr>
        <w:t xml:space="preserve">Gap for this project: </w:t>
      </w:r>
      <w:r>
        <w:rPr>
          <w:rFonts w:ascii="Times New Roman" w:hAnsi="Times New Roman" w:eastAsia="Times New Roman" w:cs="Times New Roman"/>
          <w:b w:val="0"/>
          <w:bCs w:val="0"/>
          <w:sz w:val="22"/>
          <w:szCs w:val="22"/>
          <w:rtl w:val="0"/>
        </w:rPr>
        <w:t>its broader ERP scope is not tailored to the project's lightweight SME workflow and documented FEFO-MLOR heuristic.</w:t>
      </w:r>
    </w:p>
    <w:p w14:paraId="0000009D">
      <w:pPr>
        <w:keepNext w:val="0"/>
        <w:ind w:left="360" w:firstLine="0"/>
        <w:jc w:val="left"/>
        <w:rPr>
          <w:rFonts w:ascii="Times New Roman" w:hAnsi="Times New Roman" w:eastAsia="Times New Roman" w:cs="Times New Roman"/>
          <w:color w:val="0563C1"/>
          <w:sz w:val="22"/>
          <w:szCs w:val="22"/>
          <w:u w:val="single"/>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"https://docs.oracle.com/en/cloud/saas/netsuite/ns-online-help/article_161009052865.html" \h </w:instrText>
      </w:r>
      <w:r>
        <w:fldChar w:fldCharType="separate"/>
      </w:r>
      <w:r>
        <w:rPr>
          <w:rFonts w:ascii="Times New Roman" w:hAnsi="Times New Roman" w:eastAsia="Times New Roman" w:cs="Times New Roman"/>
          <w:color w:val="0563C1"/>
          <w:sz w:val="22"/>
          <w:szCs w:val="22"/>
          <w:u w:val="single"/>
          <w:rtl w:val="0"/>
        </w:rPr>
        <w:t>https://docs.oracle.com/en/cloud/saas/netsuite/ns-online-help/article_161009052865.html</w:t>
      </w:r>
      <w:r>
        <w:rPr>
          <w:rFonts w:ascii="Times New Roman" w:hAnsi="Times New Roman" w:eastAsia="Times New Roman" w:cs="Times New Roman"/>
          <w:color w:val="0563C1"/>
          <w:sz w:val="22"/>
          <w:szCs w:val="22"/>
          <w:u w:val="single"/>
          <w:rtl w:val="0"/>
        </w:rPr>
        <w:fldChar w:fldCharType="end"/>
      </w:r>
    </w:p>
    <w:p w14:paraId="0000009E">
      <w:pPr>
        <w:keepNext w:val="0"/>
        <w:ind w:left="360" w:firstLine="0"/>
        <w:rPr>
          <w:rFonts w:ascii="Times New Roman" w:hAnsi="Times New Roman" w:eastAsia="Times New Roman" w:cs="Times New Roman"/>
          <w:color w:val="0563C1"/>
          <w:sz w:val="22"/>
          <w:szCs w:val="22"/>
          <w:u w:val="single"/>
        </w:rPr>
      </w:pPr>
    </w:p>
    <w:p w14:paraId="0000009F">
      <w:pPr>
        <w:pStyle w:val="3"/>
        <w:keepNext/>
        <w:rPr>
          <w:rFonts w:ascii="Times New Roman" w:hAnsi="Times New Roman" w:eastAsia="Times New Roman" w:cs="Times New Roman"/>
        </w:rPr>
      </w:pPr>
      <w:r>
        <w:rPr>
          <w:rFonts w:ascii="Times New Roman" w:hAnsi="Times New Roman" w:eastAsia="Times New Roman" w:cs="Times New Roman"/>
          <w:rtl w:val="0"/>
        </w:rPr>
        <w:t>4. Business Opportunity</w:t>
      </w:r>
    </w:p>
    <w:p w14:paraId="000000A0">
      <w:pPr>
        <w:jc w:val="left"/>
        <w:rPr>
          <w:rFonts w:ascii="Times New Roman" w:hAnsi="Times New Roman" w:eastAsia="Times New Roman" w:cs="Times New Roman"/>
        </w:rPr>
      </w:pPr>
      <w:r>
        <w:rPr>
          <w:rFonts w:ascii="Times New Roman" w:hAnsi="Times New Roman" w:eastAsia="Times New Roman" w:cs="Times New Roman"/>
          <w:rtl w:val="0"/>
        </w:rPr>
        <w:t>FSCM addresses the gap between spreadsheets or basic inventory tools and large enterprise warehouse systems. An FMCG distributor needs controlled receipt approval, Batch/Lot and expiry visibility, reliable allocation, and auditable dispatch and receipt evidence without adopting an oversized ERP solution.</w:t>
      </w:r>
    </w:p>
    <w:p w14:paraId="000000A1">
      <w:pPr>
        <w:jc w:val="left"/>
        <w:rPr>
          <w:rFonts w:ascii="Times New Roman" w:hAnsi="Times New Roman" w:eastAsia="Times New Roman" w:cs="Times New Roman"/>
        </w:rPr>
      </w:pPr>
      <w:r>
        <w:rPr>
          <w:rFonts w:ascii="Times New Roman" w:hAnsi="Times New Roman" w:eastAsia="Times New Roman" w:cs="Times New Roman"/>
          <w:rtl w:val="0"/>
        </w:rPr>
        <w:t>The product first filters stock by service range, available quantity, committed receiving deadline, and retailer–SKU MLOR. It then applies FEFO across eligible batches, using distance and available quantity only as tie-breakers. A tentative allocation becomes Reserved only after atomic revalidation. If eligible stock is insufficient, the confirmed retailer policy determines whether the available quantity may be reserved and the remainder is Backordered or Cancelled with retailer consent.</w:t>
      </w:r>
    </w:p>
    <w:p w14:paraId="000000A2">
      <w:pPr>
        <w:widowControl/>
        <w:jc w:val="both"/>
        <w:rPr>
          <w:rFonts w:ascii="Times New Roman" w:hAnsi="Times New Roman" w:eastAsia="Times New Roman" w:cs="Times New Roman"/>
          <w:sz w:val="22"/>
          <w:szCs w:val="22"/>
        </w:rPr>
      </w:pPr>
    </w:p>
    <w:p w14:paraId="000000A3">
      <w:pPr>
        <w:pStyle w:val="3"/>
        <w:keepNext/>
        <w:rPr>
          <w:rFonts w:ascii="Times New Roman" w:hAnsi="Times New Roman" w:eastAsia="Times New Roman" w:cs="Times New Roman"/>
        </w:rPr>
      </w:pPr>
      <w:r>
        <w:rPr>
          <w:rFonts w:ascii="Times New Roman" w:hAnsi="Times New Roman" w:eastAsia="Times New Roman" w:cs="Times New Roman"/>
          <w:rtl w:val="0"/>
        </w:rPr>
        <w:t>5. Software Product Vision</w:t>
      </w:r>
    </w:p>
    <w:p w14:paraId="000000A4">
      <w:pPr>
        <w:jc w:val="left"/>
        <w:rPr>
          <w:rFonts w:ascii="Times New Roman" w:hAnsi="Times New Roman" w:eastAsia="Times New Roman" w:cs="Times New Roman"/>
        </w:rPr>
      </w:pPr>
      <w:r>
        <w:rPr>
          <w:rFonts w:ascii="Times New Roman" w:hAnsi="Times New Roman" w:eastAsia="Times New Roman" w:cs="Times New Roman"/>
          <w:rtl w:val="0"/>
        </w:rPr>
        <w:t>For an FMCG distributor managing short shelf-life products across a peer warehouse network, FSCM is a web and mobile system for approved receipt, Batch/Lot inventory, offline sales ordering, ETA–MLOR eligibility, FEFO allocation, reservation, picking, dispatch, and retail receipt reconciliation. It provides consistent batch selection, controlled shortage handling, and an auditable flow from goods receipt to receiving evidence.</w:t>
      </w:r>
    </w:p>
    <w:p w14:paraId="000000A5">
      <w:pPr>
        <w:jc w:val="left"/>
        <w:rPr>
          <w:rFonts w:ascii="Times New Roman" w:hAnsi="Times New Roman" w:eastAsia="Times New Roman" w:cs="Times New Roman"/>
        </w:rPr>
      </w:pPr>
      <w:r>
        <w:rPr>
          <w:rFonts w:ascii="Times New Roman" w:hAnsi="Times New Roman" w:eastAsia="Times New Roman" w:cs="Times New Roman"/>
          <w:rtl w:val="0"/>
        </w:rPr>
        <w:t>The selected solution stack uses React and Chart.js for the web portal, ASP.NET Core Web API for REST services, Flutter for the mobile application, and Azure Database for PostgreSQL for transactional data. Mandatory offline Sales ordering uses SQLite, a local queue, WorkManager, and REST synchronization. Azure Blob Storage stores evidence; Microsoft Entra ID supports identity; a PostgreSQL transactional outbox, a custom worker, and Azure Functions Timer Trigger support asynchronous and scheduled work. Vercel, GitHub Actions, Azure Notification Hubs, Azure Monitor, Azure DNS, Azure Front Door, Web Application Firewall, and Azure Key Vault support delivery and operations.</w:t>
      </w:r>
    </w:p>
    <w:p w14:paraId="000000A6">
      <w:pPr>
        <w:widowControl/>
        <w:jc w:val="both"/>
        <w:rPr>
          <w:rFonts w:ascii="Times New Roman" w:hAnsi="Times New Roman" w:eastAsia="Times New Roman" w:cs="Times New Roman"/>
          <w:sz w:val="22"/>
          <w:szCs w:val="22"/>
        </w:rPr>
      </w:pPr>
    </w:p>
    <w:p w14:paraId="000000A7">
      <w:pPr>
        <w:pStyle w:val="3"/>
        <w:keepNext/>
        <w:rPr>
          <w:rFonts w:ascii="Times New Roman" w:hAnsi="Times New Roman" w:eastAsia="Times New Roman" w:cs="Times New Roman"/>
        </w:rPr>
      </w:pPr>
      <w:r>
        <w:rPr>
          <w:rFonts w:ascii="Times New Roman" w:hAnsi="Times New Roman" w:eastAsia="Times New Roman" w:cs="Times New Roman"/>
          <w:rtl w:val="0"/>
        </w:rPr>
        <w:t>6. Project Scope &amp; Limitations</w:t>
      </w:r>
    </w:p>
    <w:p w14:paraId="000000A8">
      <w:pPr>
        <w:widowControl/>
        <w:jc w:val="left"/>
        <w:rPr>
          <w:rFonts w:ascii="Times New Roman" w:hAnsi="Times New Roman" w:eastAsia="Times New Roman" w:cs="Times New Roman"/>
          <w:sz w:val="22"/>
          <w:szCs w:val="22"/>
        </w:rPr>
      </w:pPr>
      <w:r>
        <w:rPr>
          <w:rFonts w:ascii="Times New Roman" w:hAnsi="Times New Roman" w:eastAsia="Times New Roman" w:cs="Times New Roman"/>
          <w:rtl w:val="0"/>
        </w:rPr>
        <w:t>The mandatory MVP covers approved goods receipt, Batch/Lot inventory and date tracking, offline-first Sales ordering, order approval, ETA–MLOR eligibility, FEFO allocation, atomic reservation, shortage handling, picking, dispatch evidence, retail receipt reconciliation, controlled write-off, dashboards, notifications, and audit. Transportation coordination and delivery completion, forecasting, promotions, AI functions, and other advanced capabilities remain optional.</w:t>
      </w:r>
    </w:p>
    <w:p w14:paraId="000000A9">
      <w:pPr>
        <w:pStyle w:val="4"/>
        <w:keepNext/>
        <w:rPr>
          <w:rFonts w:ascii="Times New Roman" w:hAnsi="Times New Roman" w:eastAsia="Times New Roman" w:cs="Times New Roman"/>
        </w:rPr>
      </w:pPr>
      <w:r>
        <w:rPr>
          <w:rFonts w:ascii="Times New Roman" w:hAnsi="Times New Roman" w:eastAsia="Times New Roman" w:cs="Times New Roman"/>
          <w:rtl w:val="0"/>
        </w:rPr>
        <w:t>6.1 Major Features</w:t>
      </w:r>
    </w:p>
    <w:p w14:paraId="000000AA">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FE-01: Master data and access control. </w:t>
      </w:r>
      <w:r>
        <w:rPr>
          <w:rFonts w:ascii="Times New Roman" w:hAnsi="Times New Roman" w:eastAsia="Times New Roman" w:cs="Times New Roman"/>
          <w:rtl w:val="0"/>
        </w:rPr>
        <w:t>Manage SKUs, warehouses, retail stores, service ranges, retailer-SKU MLOR values, processing and transit-time configurations, users, and roles. Apply role-based permissions and audit relevant actions.</w:t>
      </w:r>
    </w:p>
    <w:p w14:paraId="000000AB">
      <w:pPr>
        <w:spacing w:after="60" w:line="240" w:lineRule="auto"/>
        <w:ind w:left="630"/>
        <w:jc w:val="both"/>
        <w:rPr>
          <w:rFonts w:ascii="Times New Roman" w:hAnsi="Times New Roman" w:eastAsia="Times New Roman" w:cs="Times New Roman"/>
          <w:b/>
          <w:bCs/>
        </w:rPr>
      </w:pPr>
    </w:p>
    <w:p w14:paraId="000000AC">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FE-02: Goods receipt and Batch/Lot inventory. </w:t>
      </w:r>
      <w:r>
        <w:rPr>
          <w:rFonts w:ascii="Times New Roman" w:hAnsi="Times New Roman" w:eastAsia="Times New Roman" w:cs="Times New Roman"/>
          <w:rtl w:val="0"/>
        </w:rPr>
        <w:t>The Warehouse Keeper records SKU, quantity, Batch/Lot, and expiration date. The system generates the Batch ID, and inventory increases only after Administrator approval.</w:t>
      </w:r>
    </w:p>
    <w:p w14:paraId="000000AD">
      <w:pPr>
        <w:spacing w:after="60" w:line="240" w:lineRule="auto"/>
        <w:ind w:left="630"/>
        <w:jc w:val="both"/>
        <w:rPr>
          <w:rFonts w:ascii="Times New Roman" w:hAnsi="Times New Roman" w:eastAsia="Times New Roman" w:cs="Times New Roman"/>
          <w:b/>
          <w:bCs/>
        </w:rPr>
      </w:pPr>
    </w:p>
    <w:p w14:paraId="000000AE">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FE-03: Batch date tracking. </w:t>
      </w:r>
      <w:r>
        <w:rPr>
          <w:rFonts w:ascii="Times New Roman" w:hAnsi="Times New Roman" w:eastAsia="Times New Roman" w:cs="Times New Roman"/>
          <w:rtl w:val="0"/>
        </w:rPr>
        <w:t>A daily date tracker changes batches from Normal to Near-date to Expired and prevents expired stock from being allocated or issued.</w:t>
      </w:r>
    </w:p>
    <w:p w14:paraId="000000AF">
      <w:pPr>
        <w:spacing w:after="60" w:line="240" w:lineRule="auto"/>
        <w:ind w:left="630"/>
        <w:jc w:val="both"/>
        <w:rPr>
          <w:rFonts w:ascii="Times New Roman" w:hAnsi="Times New Roman" w:eastAsia="Times New Roman" w:cs="Times New Roman"/>
          <w:b/>
          <w:bCs/>
        </w:rPr>
      </w:pPr>
    </w:p>
    <w:p w14:paraId="000000B0">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FE-04: Mandatory offline-first mobile sales ordering. </w:t>
      </w:r>
      <w:r>
        <w:rPr>
          <w:rFonts w:ascii="Times New Roman" w:hAnsi="Times New Roman" w:eastAsia="Times New Roman" w:cs="Times New Roman"/>
          <w:b w:val="0"/>
          <w:bCs/>
          <w:rtl w:val="0"/>
        </w:rPr>
        <w:t>The Sales Representative uses the Flutter application to view cached catalog and availability data, create orders while offline, store them in a local SQLite queue, and synchronize idempotently through WorkManager and REST when connectivity returns.</w:t>
      </w:r>
    </w:p>
    <w:p w14:paraId="000000B1">
      <w:pPr>
        <w:spacing w:after="60" w:line="240" w:lineRule="auto"/>
        <w:ind w:left="630"/>
        <w:jc w:val="both"/>
        <w:rPr>
          <w:rFonts w:ascii="Times New Roman" w:hAnsi="Times New Roman" w:eastAsia="Times New Roman" w:cs="Times New Roman"/>
          <w:b/>
          <w:bCs/>
        </w:rPr>
      </w:pPr>
    </w:p>
    <w:p w14:paraId="000000B2">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FE-05: Order approval and core state control. </w:t>
      </w:r>
      <w:r>
        <w:rPr>
          <w:rFonts w:ascii="Times New Roman" w:hAnsi="Times New Roman" w:eastAsia="Times New Roman" w:cs="Times New Roman"/>
          <w:b w:val="0"/>
          <w:bCs/>
          <w:rtl w:val="0"/>
        </w:rPr>
        <w:t>The Administrator approves or rejects orders and enforces Pending Approval → Confirmed → Dispatched with RBAC and audit history. Completed is not a core allocation state and is added only if the optional transportation and delivery-completion module is implemented.</w:t>
      </w:r>
    </w:p>
    <w:p w14:paraId="000000B3">
      <w:pPr>
        <w:spacing w:after="60" w:line="240" w:lineRule="auto"/>
        <w:ind w:left="630"/>
        <w:jc w:val="both"/>
        <w:rPr>
          <w:rFonts w:ascii="Times New Roman" w:hAnsi="Times New Roman" w:eastAsia="Times New Roman" w:cs="Times New Roman"/>
          <w:b/>
          <w:bCs/>
        </w:rPr>
      </w:pPr>
    </w:p>
    <w:p w14:paraId="000000B4">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FE-06: Service-range, ETA, and MLOR eligibility. </w:t>
      </w:r>
      <w:r>
        <w:rPr>
          <w:rFonts w:ascii="Times New Roman" w:hAnsi="Times New Roman" w:eastAsia="Times New Roman" w:cs="Times New Roman"/>
          <w:b w:val="0"/>
          <w:bCs/>
          <w:rtl w:val="0"/>
        </w:rPr>
        <w:t>For each candidate warehouse and batch, check available quantity and service range, then require ETA ≤ committed receiving deadline and EXP − ETA ≥ m(c,s) × SL(s), where 0 &lt; m(c,s) &lt; 1. Only batches that pass both comparisons continue to FEFO ranking.</w:t>
      </w:r>
    </w:p>
    <w:p w14:paraId="000000B5">
      <w:pPr>
        <w:spacing w:after="60" w:line="240" w:lineRule="auto"/>
        <w:ind w:left="630"/>
        <w:jc w:val="both"/>
        <w:rPr>
          <w:rFonts w:ascii="Times New Roman" w:hAnsi="Times New Roman" w:eastAsia="Times New Roman" w:cs="Times New Roman"/>
          <w:b/>
          <w:bCs/>
        </w:rPr>
      </w:pPr>
    </w:p>
    <w:p w14:paraId="000000B6">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FE-07: FEFO multi-warehouse allocation. </w:t>
      </w:r>
      <w:r>
        <w:rPr>
          <w:rFonts w:ascii="Times New Roman" w:hAnsi="Times New Roman" w:eastAsia="Times New Roman" w:cs="Times New Roman"/>
          <w:b w:val="0"/>
          <w:bCs/>
          <w:rtl w:val="0"/>
        </w:rPr>
        <w:t>Combine eligible batches into one list and rank them lexicographically by earliest expiration date, then shorter distance, then greater available quantity. Allocate across multiple batches or warehouses when required. The calculation result is Tentative and does not change physical or reserved quantity.</w:t>
      </w:r>
    </w:p>
    <w:p w14:paraId="000000B7">
      <w:pPr>
        <w:spacing w:after="60" w:line="240" w:lineRule="auto"/>
        <w:ind w:left="630"/>
        <w:jc w:val="both"/>
        <w:rPr>
          <w:rFonts w:ascii="Times New Roman" w:hAnsi="Times New Roman" w:eastAsia="Times New Roman" w:cs="Times New Roman"/>
          <w:b/>
          <w:bCs/>
        </w:rPr>
      </w:pPr>
    </w:p>
    <w:p w14:paraId="000000B8">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FE-08: Partial policy, allocation outcomes, and atomic reservation. </w:t>
      </w:r>
      <w:r>
        <w:rPr>
          <w:rFonts w:ascii="Times New Roman" w:hAnsi="Times New Roman" w:eastAsia="Times New Roman" w:cs="Times New Roman"/>
          <w:b w:val="0"/>
          <w:bCs/>
          <w:rtl w:val="0"/>
        </w:rPr>
        <w:t>Recheck ETA and available-for-reservation before changing a Tentative allocation to Reserved using Optimistic Locking. If the full quantity cannot be supplied and partial fulfillment is not allowed, reserve nothing and keep the line unfulfilled or waiting for stock. If partial fulfillment is allowed, reserve the eligible quantity and set the remainder to Backordered by default, or Cancelled only when policy permits and the retailer consents. On a reservation conflict, release the current attempt, reload inventory, and rerun allocation idempotently.</w:t>
      </w:r>
    </w:p>
    <w:p w14:paraId="000000B9">
      <w:pPr>
        <w:spacing w:after="60" w:line="240" w:lineRule="auto"/>
        <w:ind w:left="630"/>
        <w:jc w:val="both"/>
        <w:rPr>
          <w:rFonts w:ascii="Times New Roman" w:hAnsi="Times New Roman" w:eastAsia="Times New Roman" w:cs="Times New Roman"/>
          <w:b/>
          <w:bCs/>
        </w:rPr>
      </w:pPr>
    </w:p>
    <w:p w14:paraId="000000BA">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FE-09: Picking, goods issue, and dispatch evidence. </w:t>
      </w:r>
      <w:r>
        <w:rPr>
          <w:rFonts w:ascii="Times New Roman" w:hAnsi="Times New Roman" w:eastAsia="Times New Roman" w:cs="Times New Roman"/>
          <w:rtl w:val="0"/>
        </w:rPr>
        <w:t>Generate warehouse-Batch/Lot-quantity picking lists. The Warehouse Keeper confirms issued quantities, captures a dispatch photo, and moves the order to Dispatched.</w:t>
      </w:r>
    </w:p>
    <w:p w14:paraId="000000BB">
      <w:pPr>
        <w:spacing w:after="60" w:line="240" w:lineRule="auto"/>
        <w:ind w:left="630"/>
        <w:jc w:val="both"/>
        <w:rPr>
          <w:rFonts w:ascii="Times New Roman" w:hAnsi="Times New Roman" w:eastAsia="Times New Roman" w:cs="Times New Roman"/>
          <w:b/>
          <w:bCs/>
        </w:rPr>
      </w:pPr>
    </w:p>
    <w:p w14:paraId="000000BC">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FE-10: Mandatory retail receipt reconciliation. </w:t>
      </w:r>
      <w:r>
        <w:rPr>
          <w:rFonts w:ascii="Times New Roman" w:hAnsi="Times New Roman" w:eastAsia="Times New Roman" w:cs="Times New Roman"/>
          <w:b w:val="0"/>
          <w:bCs/>
          <w:rtl w:val="0"/>
        </w:rPr>
        <w:t>The Retail Store Manager enters the received Batch/Lot and actual quantity, attaches a receipt photo, and records discrepancies against dispatch evidence without creating retail-store inventory. Manual Batch/Lot entry is core; QR/barcode scanning is an optional convenience.</w:t>
      </w:r>
    </w:p>
    <w:p w14:paraId="000000BD">
      <w:pPr>
        <w:spacing w:after="60" w:line="240" w:lineRule="auto"/>
        <w:ind w:left="630"/>
        <w:jc w:val="both"/>
        <w:rPr>
          <w:rFonts w:ascii="Times New Roman" w:hAnsi="Times New Roman" w:eastAsia="Times New Roman" w:cs="Times New Roman"/>
          <w:b/>
          <w:bCs/>
        </w:rPr>
      </w:pPr>
    </w:p>
    <w:p w14:paraId="000000BE">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FE-11: Write-off, dashboard, notifications, and audit. </w:t>
      </w:r>
      <w:r>
        <w:rPr>
          <w:rFonts w:ascii="Times New Roman" w:hAnsi="Times New Roman" w:eastAsia="Times New Roman" w:cs="Times New Roman"/>
          <w:rtl w:val="0"/>
        </w:rPr>
        <w:t>Control write-off through available-quantity validation, photo evidence, and multi-level approval. Show Batch/Lot inventory, near-date ratio, warehouse and SKU filters, operational KPIs, notifications, and action history.</w:t>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630" w:right="0" w:hanging="630"/>
        <w:jc w:val="both"/>
        <w:rPr>
          <w:rFonts w:ascii="Times New Roman" w:hAnsi="Times New Roman" w:eastAsia="Times New Roman" w:cs="Times New Roman"/>
          <w:b/>
          <w:bCs/>
        </w:rPr>
      </w:pPr>
    </w:p>
    <w:p w14:paraId="5AA3BAC3">
      <w:pPr>
        <w:spacing w:after="60" w:line="240" w:lineRule="auto"/>
        <w:ind w:left="630"/>
        <w:jc w:val="left"/>
        <w:rPr>
          <w:rFonts w:ascii="Times New Roman" w:hAnsi="Times New Roman" w:eastAsia="Times New Roman" w:cs="Times New Roman"/>
          <w:b w:val="0"/>
          <w:bCs/>
          <w:rtl w:val="0"/>
        </w:rPr>
      </w:pPr>
      <w:r>
        <w:rPr>
          <w:rFonts w:ascii="Times New Roman" w:hAnsi="Times New Roman" w:eastAsia="Times New Roman" w:cs="Times New Roman"/>
          <w:b/>
          <w:bCs/>
          <w:rtl w:val="0"/>
        </w:rPr>
        <w:t xml:space="preserve">FE-12 (Optional): Transportation coordination and delivery completion. </w:t>
      </w:r>
      <w:r>
        <w:rPr>
          <w:rFonts w:ascii="Times New Roman" w:hAnsi="Times New Roman" w:eastAsia="Times New Roman" w:cs="Times New Roman"/>
          <w:b w:val="0"/>
          <w:bCs/>
          <w:rtl w:val="0"/>
        </w:rPr>
        <w:t>Plan routes, assign vehicles or drivers, monitor delivery and cold-chain data, calculate delivery KPIs, and move a dispatched order to Completed after confirmed delivery.</w:t>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630" w:right="0" w:hanging="630"/>
        <w:jc w:val="both"/>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drawing>
          <wp:inline distT="0" distB="0" distL="114300" distR="114300">
            <wp:extent cx="5745480" cy="3416300"/>
            <wp:effectExtent l="0" t="0" r="0" b="12700"/>
            <wp:docPr id="1" name="Picture 1" descr="system_context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_context_diagram.drawio"/>
                    <pic:cNvPicPr>
                      <a:picLocks noChangeAspect="1"/>
                    </pic:cNvPicPr>
                  </pic:nvPicPr>
                  <pic:blipFill>
                    <a:blip r:embed="rId7"/>
                    <a:stretch>
                      <a:fillRect/>
                    </a:stretch>
                  </pic:blipFill>
                  <pic:spPr>
                    <a:xfrm>
                      <a:off x="0" y="0"/>
                      <a:ext cx="5745480" cy="3416300"/>
                    </a:xfrm>
                    <a:prstGeom prst="rect">
                      <a:avLst/>
                    </a:prstGeom>
                  </pic:spPr>
                </pic:pic>
              </a:graphicData>
            </a:graphic>
          </wp:inline>
        </w:drawing>
      </w:r>
    </w:p>
    <w:p w14:paraId="000000C3">
      <w:pPr>
        <w:pStyle w:val="4"/>
        <w:keepNext/>
      </w:pPr>
    </w:p>
    <w:p w14:paraId="000000C4"/>
    <w:p w14:paraId="000000C5">
      <w:pPr>
        <w:pStyle w:val="4"/>
        <w:keepNext/>
        <w:rPr>
          <w:rFonts w:ascii="Times New Roman" w:hAnsi="Times New Roman" w:eastAsia="Times New Roman" w:cs="Times New Roman"/>
        </w:rPr>
      </w:pPr>
      <w:r>
        <w:rPr>
          <w:rFonts w:ascii="Times New Roman" w:hAnsi="Times New Roman" w:eastAsia="Times New Roman" w:cs="Times New Roman"/>
          <w:rtl w:val="0"/>
        </w:rPr>
        <w:t>6.2 Limitations &amp; Exclusions</w:t>
      </w:r>
    </w:p>
    <w:p w14:paraId="000000C6">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LI-01: Enterprise and warehouse boundary. </w:t>
      </w:r>
      <w:r>
        <w:rPr>
          <w:rFonts w:ascii="Times New Roman" w:hAnsi="Times New Roman" w:eastAsia="Times New Roman" w:cs="Times New Roman"/>
          <w:rtl w:val="0"/>
        </w:rPr>
        <w:t>The system serves one FMCG distributor and its warehouse network. Warehouses are treated as peer operating locations rather than a fixed hierarchy, and the product is not a multi-tenant marketplace.</w:t>
      </w:r>
    </w:p>
    <w:p w14:paraId="000000C7">
      <w:pPr>
        <w:spacing w:after="60" w:line="240" w:lineRule="auto"/>
        <w:ind w:left="630"/>
        <w:jc w:val="both"/>
        <w:rPr>
          <w:rFonts w:ascii="Times New Roman" w:hAnsi="Times New Roman" w:eastAsia="Times New Roman" w:cs="Times New Roman"/>
          <w:b/>
          <w:bCs/>
        </w:rPr>
      </w:pPr>
    </w:p>
    <w:p w14:paraId="000000C8">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LI-02: Retail Store Manager boundary. </w:t>
      </w:r>
      <w:r>
        <w:rPr>
          <w:rFonts w:ascii="Times New Roman" w:hAnsi="Times New Roman" w:eastAsia="Times New Roman" w:cs="Times New Roman"/>
          <w:rtl w:val="0"/>
        </w:rPr>
        <w:t>The Sales Representative creates retail-store orders. The Retail Store Manager does not place orders but does confirm receipt, reconcile Batch/Lot and quantity, attach a photo, and report discrepancies.</w:t>
      </w:r>
    </w:p>
    <w:p w14:paraId="000000C9">
      <w:pPr>
        <w:spacing w:after="60" w:line="240" w:lineRule="auto"/>
        <w:ind w:left="630"/>
        <w:jc w:val="both"/>
        <w:rPr>
          <w:rFonts w:ascii="Times New Roman" w:hAnsi="Times New Roman" w:eastAsia="Times New Roman" w:cs="Times New Roman"/>
          <w:b/>
          <w:bCs/>
        </w:rPr>
      </w:pPr>
    </w:p>
    <w:p w14:paraId="000000CA">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LI-03: Retail-store inventory exclusion. </w:t>
      </w:r>
      <w:r>
        <w:rPr>
          <w:rFonts w:ascii="Times New Roman" w:hAnsi="Times New Roman" w:eastAsia="Times New Roman" w:cs="Times New Roman"/>
          <w:rtl w:val="0"/>
        </w:rPr>
        <w:t>Receipt reconciliation records the delivered Batch/Lot and quantity only. The system does not create or manage inventory, storage locations, point-of-sale stock, or shrinkage at the retail store.</w:t>
      </w:r>
    </w:p>
    <w:p w14:paraId="000000CB">
      <w:pPr>
        <w:spacing w:after="60" w:line="240" w:lineRule="auto"/>
        <w:ind w:left="630"/>
        <w:jc w:val="both"/>
        <w:rPr>
          <w:rFonts w:ascii="Times New Roman" w:hAnsi="Times New Roman" w:eastAsia="Times New Roman" w:cs="Times New Roman"/>
          <w:b/>
          <w:bCs/>
        </w:rPr>
      </w:pPr>
    </w:p>
    <w:p w14:paraId="000000CC">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LI-04: ETA, transportation, and completion boundary. </w:t>
      </w:r>
      <w:r>
        <w:rPr>
          <w:rFonts w:ascii="Times New Roman" w:hAnsi="Times New Roman" w:eastAsia="Times New Roman" w:cs="Times New Roman"/>
          <w:b w:val="0"/>
          <w:bCs/>
          <w:rtl w:val="0"/>
        </w:rPr>
        <w:t>ETA is an estimate used for receiving-deadline and MLOR eligibility, not a guarantee of actual delivery time. Route planning, vehicle or driver assignment, live GPS, cold-chain monitoring, proof of delivery by transport personnel, on-time KPI, and the Completed delivery state belong to the optional transportation module.</w:t>
      </w:r>
    </w:p>
    <w:p w14:paraId="000000CD">
      <w:pPr>
        <w:spacing w:after="60" w:line="240" w:lineRule="auto"/>
        <w:ind w:left="630"/>
        <w:jc w:val="both"/>
        <w:rPr>
          <w:rFonts w:ascii="Times New Roman" w:hAnsi="Times New Roman" w:eastAsia="Times New Roman" w:cs="Times New Roman"/>
          <w:b/>
          <w:bCs/>
        </w:rPr>
      </w:pPr>
    </w:p>
    <w:p w14:paraId="000000CE">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LI-05: Heuristic and shipment limitation. </w:t>
      </w:r>
      <w:r>
        <w:rPr>
          <w:rFonts w:ascii="Times New Roman" w:hAnsi="Times New Roman" w:eastAsia="Times New Roman" w:cs="Times New Roman"/>
          <w:b w:val="0"/>
          <w:bCs/>
          <w:rtl w:val="0"/>
        </w:rPr>
        <w:t>FEFO, distance, and available quantity form a lexicographic project heuristic; the system does not claim globally optimal cost or allocation across all orders. The MVP does not impose a warehouse-count limit or minimum shipment quantity, so small split shipments may occur. This is a declared limitation, not an optional feature.</w:t>
      </w:r>
    </w:p>
    <w:p w14:paraId="000000CF">
      <w:pPr>
        <w:spacing w:after="60" w:line="240" w:lineRule="auto"/>
        <w:ind w:left="630"/>
        <w:jc w:val="both"/>
        <w:rPr>
          <w:rFonts w:ascii="Times New Roman" w:hAnsi="Times New Roman" w:eastAsia="Times New Roman" w:cs="Times New Roman"/>
          <w:b/>
          <w:bCs/>
        </w:rPr>
      </w:pPr>
    </w:p>
    <w:p w14:paraId="000000D0">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LI-06: MLOR policy. MLOR is configured for each retailer-SKU with 0 &lt; m(c,s) &lt; 1. </w:t>
      </w:r>
      <w:r>
        <w:rPr>
          <w:rFonts w:ascii="Times New Roman" w:hAnsi="Times New Roman" w:eastAsia="Times New Roman" w:cs="Times New Roman"/>
          <w:rtl w:val="0"/>
        </w:rPr>
        <w:t>The system does not automatically reduce MLOR, extend the receiving deadline, or widen the service range when eligible stock is insufficient.</w:t>
      </w:r>
    </w:p>
    <w:p w14:paraId="000000D1">
      <w:pPr>
        <w:spacing w:after="60" w:line="240" w:lineRule="auto"/>
        <w:ind w:left="630"/>
        <w:jc w:val="both"/>
        <w:rPr>
          <w:rFonts w:ascii="Times New Roman" w:hAnsi="Times New Roman" w:eastAsia="Times New Roman" w:cs="Times New Roman"/>
          <w:b/>
          <w:bCs/>
        </w:rPr>
      </w:pPr>
    </w:p>
    <w:p w14:paraId="000000D2">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LI-07: Multi-warehouse and partial-fulfillment boundary. </w:t>
      </w:r>
      <w:r>
        <w:rPr>
          <w:rFonts w:ascii="Times New Roman" w:hAnsi="Times New Roman" w:eastAsia="Times New Roman" w:cs="Times New Roman"/>
          <w:b w:val="0"/>
          <w:bCs/>
          <w:rtl w:val="0"/>
        </w:rPr>
        <w:t>Using several batches or warehouses to fully satisfy an order line is not partial fulfillment. Only after every eligible batch has been considered may the retailer policy allow the available quantity to be Reserved and the remainder set to Backordered or Cancelled with retailer consent. If partial fulfillment is disallowed, no tentative quantity is reserved.</w:t>
      </w:r>
    </w:p>
    <w:p w14:paraId="000000D3">
      <w:pPr>
        <w:spacing w:after="60" w:line="240" w:lineRule="auto"/>
        <w:ind w:left="630"/>
        <w:jc w:val="both"/>
        <w:rPr>
          <w:rFonts w:ascii="Times New Roman" w:hAnsi="Times New Roman" w:eastAsia="Times New Roman" w:cs="Times New Roman"/>
          <w:b/>
          <w:bCs/>
        </w:rPr>
      </w:pPr>
    </w:p>
    <w:p w14:paraId="000000D4">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LI-08: Mobile and offline boundary. </w:t>
      </w:r>
      <w:r>
        <w:rPr>
          <w:rFonts w:ascii="Times New Roman" w:hAnsi="Times New Roman" w:eastAsia="Times New Roman" w:cs="Times New Roman"/>
          <w:b w:val="0"/>
          <w:bCs/>
          <w:rtl w:val="0"/>
        </w:rPr>
        <w:t>Offline-first mobile support is mandatory for Sales Representative catalog access, order capture, local queuing, and synchronization. Approval, allocation, reservation, warehouse execution, receipt reconciliation, and administration require server connectivity. QR/barcode scanning and transportation delivery completion are optional.</w:t>
      </w:r>
    </w:p>
    <w:p w14:paraId="000000D5">
      <w:pPr>
        <w:spacing w:after="60" w:line="240" w:lineRule="auto"/>
        <w:ind w:left="630"/>
        <w:jc w:val="both"/>
        <w:rPr>
          <w:rFonts w:ascii="Times New Roman" w:hAnsi="Times New Roman" w:eastAsia="Times New Roman" w:cs="Times New Roman"/>
          <w:b/>
          <w:bCs/>
        </w:rPr>
      </w:pPr>
    </w:p>
    <w:p w14:paraId="000000D6">
      <w:pPr>
        <w:spacing w:after="60" w:line="240" w:lineRule="auto"/>
        <w:ind w:left="630"/>
        <w:jc w:val="left"/>
        <w:rPr>
          <w:rFonts w:ascii="Times New Roman" w:hAnsi="Times New Roman" w:eastAsia="Times New Roman" w:cs="Times New Roman"/>
        </w:rPr>
      </w:pPr>
      <w:r>
        <w:rPr>
          <w:rFonts w:ascii="Times New Roman" w:hAnsi="Times New Roman" w:eastAsia="Times New Roman" w:cs="Times New Roman"/>
          <w:b/>
          <w:bCs/>
          <w:rtl w:val="0"/>
        </w:rPr>
        <w:t xml:space="preserve">LI-09: Deferred optional functions. </w:t>
      </w:r>
      <w:r>
        <w:rPr>
          <w:rFonts w:ascii="Times New Roman" w:hAnsi="Times New Roman" w:eastAsia="Times New Roman" w:cs="Times New Roman"/>
          <w:b w:val="0"/>
          <w:bCs/>
          <w:rtl w:val="0"/>
        </w:rPr>
        <w:t>Transportation coordination and Completed delivery status, forecasting, MAPE, safety stock, promotions, OCR and LLM label processing, computer-vision shelf analysis, QR/barcode convenience, extended retail recall tracing, and cold-chain functions are outside the mandatory MVP.</w:t>
      </w:r>
    </w:p>
    <w:p w14:paraId="000000D7">
      <w:pPr>
        <w:spacing w:after="60" w:line="240" w:lineRule="auto"/>
        <w:ind w:left="630"/>
        <w:jc w:val="both"/>
        <w:rPr>
          <w:rFonts w:ascii="Times New Roman" w:hAnsi="Times New Roman" w:eastAsia="Times New Roman" w:cs="Times New Roman"/>
          <w:b/>
          <w:bCs/>
        </w:rPr>
      </w:pPr>
    </w:p>
    <w:p w14:paraId="000000D9">
      <w:pPr>
        <w:spacing w:after="60" w:line="240" w:lineRule="auto"/>
        <w:ind w:left="630"/>
        <w:jc w:val="left"/>
        <w:rPr>
          <w:rFonts w:ascii="Times New Roman" w:hAnsi="Times New Roman" w:eastAsia="Times New Roman" w:cs="Times New Roman"/>
          <w:b/>
          <w:bCs/>
        </w:rPr>
      </w:pPr>
      <w:r>
        <w:rPr>
          <w:rFonts w:ascii="Times New Roman" w:hAnsi="Times New Roman" w:eastAsia="Times New Roman" w:cs="Times New Roman"/>
          <w:b/>
          <w:bCs/>
          <w:rtl w:val="0"/>
        </w:rPr>
        <w:t xml:space="preserve">LI-10: Technology boundary. </w:t>
      </w:r>
      <w:r>
        <w:rPr>
          <w:rFonts w:ascii="Times New Roman" w:hAnsi="Times New Roman" w:eastAsia="Times New Roman" w:cs="Times New Roman"/>
          <w:rtl w:val="0"/>
        </w:rPr>
        <w:t>The initial solution uses a modular application and REST APIs. Microservices, a dedicated API-management layer, and advanced event-streaming infrastructure are not required for the MVP.</w:t>
      </w:r>
      <w:bookmarkStart w:id="5" w:name="_GoBack"/>
      <w:bookmarkEnd w:id="5"/>
    </w:p>
    <w:sectPr>
      <w:pgSz w:w="11906" w:h="16838"/>
      <w:pgMar w:top="1440" w:right="1416"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A3AF79A-726F-4962-9751-BD585E271E69}"/>
  </w:font>
  <w:font w:name="Arial">
    <w:panose1 w:val="020B0604020202020204"/>
    <w:charset w:val="00"/>
    <w:family w:val="swiss"/>
    <w:pitch w:val="default"/>
    <w:sig w:usb0="E0002EFF" w:usb1="C000785B" w:usb2="00000009" w:usb3="00000000" w:csb0="400001FF" w:csb1="FFFF0000"/>
    <w:embedRegular r:id="rId2" w:fontKey="{1F58CD58-2A6F-48CB-83DB-D5170F9417B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AA02288-4AD4-4F45-ABFB-BD0AEF1E1B02}"/>
  </w:font>
  <w:font w:name="Wingdings">
    <w:panose1 w:val="05000000000000000000"/>
    <w:charset w:val="02"/>
    <w:family w:val="auto"/>
    <w:pitch w:val="default"/>
    <w:sig w:usb0="00000000" w:usb1="00000000" w:usb2="00000000" w:usb3="00000000" w:csb0="80000000" w:csb1="00000000"/>
    <w:embedRegular r:id="rId4" w:fontKey="{8C0B4B38-DA80-404A-B0B7-E16D83AD1204}"/>
  </w:font>
  <w:font w:name="Calibri">
    <w:panose1 w:val="020F0502020204030204"/>
    <w:charset w:val="86"/>
    <w:family w:val="swiss"/>
    <w:pitch w:val="default"/>
    <w:sig w:usb0="E4002EFF" w:usb1="C200247B" w:usb2="00000009" w:usb3="00000000" w:csb0="200001FF" w:csb1="00000000"/>
    <w:embedRegular r:id="rId5" w:fontKey="{1F0E33BD-59F7-4352-97CB-E46F488C1F2C}"/>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embedRegular r:id="rId6" w:fontKey="{60D54DD3-27AD-418E-9D72-DE7843BBA34C}"/>
  </w:font>
  <w:font w:name="Segoe">
    <w:altName w:val="Arial"/>
    <w:panose1 w:val="00000000000000000000"/>
    <w:charset w:val="00"/>
    <w:family w:val="auto"/>
    <w:pitch w:val="default"/>
    <w:sig w:usb0="00000000" w:usb1="00000000" w:usb2="00000000" w:usb3="00000000" w:csb0="00000000" w:csb1="00000000"/>
    <w:embedRegular r:id="rId7" w:fontKey="{773E9193-3FB8-40D0-BA4F-DCA3B4C47B49}"/>
  </w:font>
  <w:font w:name="Tahoma">
    <w:panose1 w:val="020B0604030504040204"/>
    <w:charset w:val="00"/>
    <w:family w:val="auto"/>
    <w:pitch w:val="default"/>
    <w:sig w:usb0="E1002EFF" w:usb1="C000605B" w:usb2="00000029" w:usb3="00000000" w:csb0="200101FF" w:csb1="20280000"/>
    <w:embedRegular r:id="rId8" w:fontKey="{5F7E7330-7EDD-48A2-B77D-289512FFF3FB}"/>
  </w:font>
  <w:font w:name="Georgia">
    <w:panose1 w:val="02040502050405020303"/>
    <w:charset w:val="00"/>
    <w:family w:val="auto"/>
    <w:pitch w:val="default"/>
    <w:sig w:usb0="00000287" w:usb1="00000000" w:usb2="00000000" w:usb3="00000000" w:csb0="2000009F" w:csb1="00000000"/>
    <w:embedRegular r:id="rId9" w:fontKey="{01EBB9E8-1FCE-4495-8D8D-E6E9AB4CC883}"/>
  </w:font>
  <w:font w:name="Noto Sans Symbols">
    <w:altName w:val="JetBrains Mono"/>
    <w:panose1 w:val="00000000000000000000"/>
    <w:charset w:val="00"/>
    <w:family w:val="auto"/>
    <w:pitch w:val="default"/>
    <w:sig w:usb0="00000000" w:usb1="00000000" w:usb2="00000000" w:usb3="00000000" w:csb0="00000000" w:csb1="00000000"/>
    <w:embedRegular r:id="rId10" w:fontKey="{E23A1E21-5E60-4044-9962-F5B5D66E0F25}"/>
  </w:font>
  <w:font w:name="JetBrains Mono">
    <w:panose1 w:val="02000009000000000000"/>
    <w:charset w:val="00"/>
    <w:family w:val="auto"/>
    <w:pitch w:val="default"/>
    <w:sig w:usb0="A00402FF" w:usb1="1200F9FB" w:usb2="0200003C" w:usb3="00000000" w:csb0="2000019F" w:csb1="DFD70000"/>
    <w:embedRegular r:id="rId11" w:fontKey="{488BDFFA-90DE-4721-AEA4-ED27B8EC69C1}"/>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1080" w:hanging="360"/>
      </w:p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18A1388"/>
    <w:rsid w:val="1A5B4FCA"/>
    <w:rsid w:val="1A6C1067"/>
    <w:rsid w:val="42DD6902"/>
    <w:rsid w:val="69EB3B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qFormat/>
    <w:uiPriority w:val="0"/>
    <w:pPr>
      <w:keepNext/>
      <w:keepLines/>
      <w:spacing w:before="240" w:after="0"/>
    </w:pPr>
    <w:rPr>
      <w:rFonts w:ascii="Calibri" w:hAnsi="Calibri" w:eastAsia="Calibri" w:cs="Calibri"/>
      <w:b/>
      <w:bCs/>
      <w:color w:val="000000"/>
      <w:sz w:val="32"/>
      <w:szCs w:val="32"/>
    </w:rPr>
  </w:style>
  <w:style w:type="paragraph" w:styleId="3">
    <w:name w:val="heading 2"/>
    <w:basedOn w:val="1"/>
    <w:next w:val="1"/>
    <w:qFormat/>
    <w:uiPriority w:val="0"/>
    <w:pPr>
      <w:keepNext/>
      <w:keepLines/>
      <w:spacing w:before="40" w:after="0"/>
    </w:pPr>
    <w:rPr>
      <w:rFonts w:ascii="Calibri" w:hAnsi="Calibri" w:eastAsia="Calibri" w:cs="Calibri"/>
      <w:b/>
      <w:bCs/>
      <w:color w:val="000000"/>
      <w:sz w:val="26"/>
      <w:szCs w:val="26"/>
    </w:rPr>
  </w:style>
  <w:style w:type="paragraph" w:styleId="4">
    <w:name w:val="heading 3"/>
    <w:basedOn w:val="1"/>
    <w:next w:val="1"/>
    <w:qFormat/>
    <w:uiPriority w:val="0"/>
    <w:pPr>
      <w:keepNext/>
      <w:keepLines/>
      <w:spacing w:before="40" w:after="0"/>
    </w:pPr>
    <w:rPr>
      <w:rFonts w:ascii="Calibri" w:hAnsi="Calibri" w:eastAsia="Calibri" w:cs="Calibri"/>
      <w:b/>
      <w:bCs/>
      <w:color w:val="000000"/>
      <w:sz w:val="24"/>
      <w:szCs w:val="24"/>
    </w:rPr>
  </w:style>
  <w:style w:type="paragraph" w:styleId="5">
    <w:name w:val="heading 4"/>
    <w:basedOn w:val="1"/>
    <w:next w:val="1"/>
    <w:qFormat/>
    <w:uiPriority w:val="0"/>
    <w:pPr>
      <w:keepNext/>
      <w:keepLines/>
      <w:spacing w:before="40" w:after="0"/>
    </w:pPr>
    <w:rPr>
      <w:rFonts w:ascii="Calibri" w:hAnsi="Calibri" w:eastAsia="Calibri" w:cs="Calibri"/>
      <w:b/>
      <w:bCs/>
      <w:i/>
      <w:iCs/>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List"/>
    <w:semiHidden/>
    <w:qFormat/>
    <w:uiPriority w:val="0"/>
    <w:pPr>
      <w:spacing w:after="120" w:line="240" w:lineRule="exact"/>
      <w:ind w:left="630" w:hanging="630"/>
    </w:pPr>
    <w:rPr>
      <w:rFonts w:ascii="Times New Roman" w:hAnsi="Times New Roman" w:eastAsia="Times New Roman" w:cs="Times New Roman"/>
      <w:sz w:val="24"/>
      <w:szCs w:val="20"/>
      <w:lang w:val="en-US"/>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pageBreakBefore w:val="0"/>
      <w:spacing w:before="480" w:after="120"/>
    </w:pPr>
    <w:rPr>
      <w:b/>
      <w:bCs/>
      <w:sz w:val="72"/>
      <w:szCs w:val="72"/>
    </w:rPr>
  </w:style>
  <w:style w:type="paragraph" w:styleId="15">
    <w:name w:val="toc 1"/>
    <w:next w:val="1"/>
    <w:autoRedefine/>
    <w:unhideWhenUsed/>
    <w:qFormat/>
    <w:uiPriority w:val="39"/>
    <w:pPr>
      <w:spacing w:after="100" w:line="259" w:lineRule="auto"/>
    </w:pPr>
    <w:rPr>
      <w:rFonts w:ascii="Calibri" w:hAnsi="Calibri" w:eastAsia="Calibri" w:cs="Calibri"/>
      <w:sz w:val="22"/>
      <w:szCs w:val="22"/>
      <w:lang w:val="zh-CN"/>
    </w:rPr>
  </w:style>
  <w:style w:type="paragraph" w:styleId="16">
    <w:name w:val="toc 2"/>
    <w:next w:val="1"/>
    <w:autoRedefine/>
    <w:unhideWhenUsed/>
    <w:qFormat/>
    <w:uiPriority w:val="39"/>
    <w:pPr>
      <w:spacing w:after="100" w:line="259" w:lineRule="auto"/>
      <w:ind w:left="220"/>
    </w:pPr>
    <w:rPr>
      <w:rFonts w:ascii="Calibri" w:hAnsi="Calibri" w:eastAsia="Calibri" w:cs="Calibri"/>
      <w:sz w:val="22"/>
      <w:szCs w:val="22"/>
      <w:lang w:val="zh-CN"/>
    </w:rPr>
  </w:style>
  <w:style w:type="paragraph" w:styleId="17">
    <w:name w:val="toc 3"/>
    <w:next w:val="1"/>
    <w:autoRedefine/>
    <w:unhideWhenUsed/>
    <w:uiPriority w:val="39"/>
    <w:pPr>
      <w:spacing w:after="100" w:line="259" w:lineRule="auto"/>
      <w:ind w:left="440"/>
    </w:pPr>
    <w:rPr>
      <w:rFonts w:ascii="Calibri" w:hAnsi="Calibri" w:eastAsia="Calibri" w:cs="Calibri"/>
      <w:sz w:val="22"/>
      <w:szCs w:val="22"/>
      <w:lang w:val="zh-CN"/>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qFormat/>
    <w:uiPriority w:val="34"/>
    <w:pPr>
      <w:spacing w:after="160" w:line="259" w:lineRule="auto"/>
      <w:ind w:left="720"/>
      <w:contextualSpacing/>
    </w:pPr>
    <w:rPr>
      <w:rFonts w:ascii="Calibri" w:hAnsi="Calibri" w:eastAsia="Calibri" w:cs="Calibri"/>
      <w:sz w:val="22"/>
      <w:szCs w:val="22"/>
      <w:lang w:val="zh-CN"/>
    </w:rPr>
  </w:style>
  <w:style w:type="character" w:customStyle="1" w:styleId="20">
    <w:name w:val="Heading 1 Char"/>
    <w:basedOn w:val="8"/>
    <w:qFormat/>
    <w:uiPriority w:val="9"/>
    <w:rPr>
      <w:rFonts w:asciiTheme="majorHAnsi" w:hAnsiTheme="majorHAnsi" w:eastAsiaTheme="majorEastAsia" w:cstheme="majorBidi"/>
      <w:b/>
      <w:color w:val="C00000"/>
      <w:sz w:val="32"/>
      <w:szCs w:val="32"/>
    </w:rPr>
  </w:style>
  <w:style w:type="character" w:customStyle="1" w:styleId="21">
    <w:name w:val="Heading 2 Char"/>
    <w:basedOn w:val="8"/>
    <w:qFormat/>
    <w:uiPriority w:val="9"/>
    <w:rPr>
      <w:rFonts w:asciiTheme="majorHAnsi" w:hAnsiTheme="majorHAnsi" w:eastAsiaTheme="majorEastAsia" w:cstheme="majorBidi"/>
      <w:b/>
      <w:sz w:val="26"/>
      <w:szCs w:val="26"/>
    </w:rPr>
  </w:style>
  <w:style w:type="character" w:customStyle="1" w:styleId="22">
    <w:name w:val="Heading 3 Char"/>
    <w:basedOn w:val="8"/>
    <w:qFormat/>
    <w:uiPriority w:val="9"/>
    <w:rPr>
      <w:rFonts w:asciiTheme="majorHAnsi" w:hAnsiTheme="majorHAnsi" w:eastAsiaTheme="majorEastAsia" w:cstheme="majorBidi"/>
      <w:b/>
      <w:sz w:val="24"/>
      <w:szCs w:val="24"/>
    </w:rPr>
  </w:style>
  <w:style w:type="table" w:customStyle="1" w:styleId="23">
    <w:name w:val="Kiểu2"/>
    <w:basedOn w:val="9"/>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character" w:customStyle="1" w:styleId="24">
    <w:name w:val="Heading 4 Char"/>
    <w:basedOn w:val="8"/>
    <w:qFormat/>
    <w:uiPriority w:val="9"/>
    <w:rPr>
      <w:rFonts w:asciiTheme="majorHAnsi" w:hAnsiTheme="majorHAnsi" w:eastAsiaTheme="majorEastAsia" w:cstheme="majorBidi"/>
      <w:b/>
      <w:i/>
      <w:iCs/>
    </w:rPr>
  </w:style>
  <w:style w:type="paragraph" w:customStyle="1" w:styleId="25">
    <w:name w:val="Fig-Graphic"/>
    <w:qFormat/>
    <w:uiPriority w:val="0"/>
    <w:pPr>
      <w:widowControl w:val="0"/>
      <w:suppressAutoHyphens/>
      <w:autoSpaceDE w:val="0"/>
      <w:autoSpaceDN w:val="0"/>
      <w:adjustRightInd w:val="0"/>
      <w:spacing w:before="180" w:after="80" w:line="240" w:lineRule="atLeast"/>
      <w:ind w:left="480"/>
      <w:textAlignment w:val="baseline"/>
    </w:pPr>
    <w:rPr>
      <w:rFonts w:ascii="Segoe" w:hAnsi="Segoe" w:cs="Segoe" w:eastAsiaTheme="minorEastAsia"/>
      <w:iCs/>
      <w:color w:val="000000"/>
      <w:sz w:val="18"/>
      <w:szCs w:val="19"/>
      <w:lang w:val="en-US"/>
    </w:rPr>
  </w:style>
  <w:style w:type="character" w:customStyle="1" w:styleId="26">
    <w:name w:val="Fig Num"/>
    <w:uiPriority w:val="8"/>
    <w:rPr>
      <w:b/>
      <w:bCs/>
      <w:caps/>
      <w:sz w:val="15"/>
      <w:szCs w:val="15"/>
    </w:rPr>
  </w:style>
  <w:style w:type="paragraph" w:customStyle="1" w:styleId="27">
    <w:name w:val="Table Text small"/>
    <w:qFormat/>
    <w:uiPriority w:val="0"/>
    <w:pPr>
      <w:keepNext/>
      <w:keepLines/>
      <w:spacing w:before="20" w:after="20" w:line="240" w:lineRule="exact"/>
      <w:ind w:left="95"/>
    </w:pPr>
    <w:rPr>
      <w:rFonts w:ascii="Arial" w:hAnsi="Arial" w:eastAsia="Times New Roman" w:cs="Times New Roman"/>
      <w:sz w:val="18"/>
      <w:szCs w:val="18"/>
      <w:lang w:val="en-US"/>
    </w:rPr>
  </w:style>
  <w:style w:type="paragraph" w:customStyle="1" w:styleId="28">
    <w:name w:val="Table Head"/>
    <w:qFormat/>
    <w:uiPriority w:val="0"/>
    <w:pPr>
      <w:spacing w:before="60" w:after="60" w:line="240" w:lineRule="exact"/>
      <w:jc w:val="center"/>
      <w:outlineLvl w:val="9"/>
    </w:pPr>
    <w:rPr>
      <w:rFonts w:ascii="Arial" w:hAnsi="Arial" w:eastAsia="Times New Roman" w:cs="Times New Roman"/>
      <w:sz w:val="22"/>
      <w:szCs w:val="22"/>
      <w:lang w:val="en-US"/>
    </w:rPr>
  </w:style>
  <w:style w:type="paragraph" w:customStyle="1" w:styleId="29">
    <w:name w:val="TOC Heading"/>
    <w:unhideWhenUsed/>
    <w:qFormat/>
    <w:uiPriority w:val="39"/>
    <w:pPr>
      <w:spacing w:after="160" w:line="259" w:lineRule="auto"/>
      <w:outlineLvl w:val="9"/>
    </w:pPr>
    <w:rPr>
      <w:rFonts w:ascii="Calibri" w:hAnsi="Calibri" w:eastAsia="Calibri" w:cs="Calibri"/>
      <w:color w:val="2E75B6" w:themeColor="accent1" w:themeShade="BF"/>
      <w:sz w:val="22"/>
      <w:szCs w:val="22"/>
      <w:lang w:val="en-US"/>
    </w:rPr>
  </w:style>
  <w:style w:type="paragraph" w:customStyle="1" w:styleId="30">
    <w:name w:val="Bang"/>
    <w:autoRedefine/>
    <w:qFormat/>
    <w:uiPriority w:val="0"/>
    <w:pPr>
      <w:spacing w:before="80" w:after="80" w:line="240" w:lineRule="auto"/>
    </w:pPr>
    <w:rPr>
      <w:rFonts w:ascii="Tahoma" w:hAnsi="Tahoma" w:eastAsia="Times New Roman" w:cs="Tahoma"/>
      <w:sz w:val="18"/>
      <w:szCs w:val="18"/>
      <w:lang w:val="en-US"/>
    </w:rPr>
  </w:style>
  <w:style w:type="paragraph" w:customStyle="1" w:styleId="31">
    <w:name w:val="Heading Lv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table" w:customStyle="1" w:styleId="32">
    <w:name w:val="_Style 31"/>
    <w:basedOn w:val="18"/>
    <w:uiPriority w:val="0"/>
    <w:tblPr>
      <w:tblCellMar>
        <w:top w:w="0" w:type="dxa"/>
        <w:left w:w="80" w:type="dxa"/>
        <w:bottom w:w="0" w:type="dxa"/>
        <w:right w:w="80" w:type="dxa"/>
      </w:tblCellMar>
    </w:tblPr>
  </w:style>
  <w:style w:type="table" w:customStyle="1" w:styleId="33">
    <w:name w:val="_Style 32"/>
    <w:basedOn w:val="18"/>
    <w:uiPriority w:val="0"/>
    <w:pPr>
      <w:spacing w:after="0" w:line="240" w:lineRule="auto"/>
    </w:pPr>
    <w:rPr>
      <w:rFonts w:ascii="Times New Roman" w:hAnsi="Times New Roman" w:eastAsia="Times New Roman" w:cs="Times New Roman"/>
      <w:sz w:val="24"/>
      <w:szCs w:val="24"/>
    </w:rPr>
    <w:tblPr>
      <w:tblCellMar>
        <w:top w:w="0" w:type="dxa"/>
        <w:left w:w="108" w:type="dxa"/>
        <w:bottom w:w="0" w:type="dxa"/>
        <w:right w:w="108" w:type="dxa"/>
      </w:tblCellMar>
    </w:tblPr>
    <w:tcPr>
      <w:vAlign w:val="center"/>
    </w:tcPr>
    <w:tblStylePr w:type="firstRow">
      <w:rPr>
        <w:rFonts w:ascii="Times New Roman" w:hAnsi="Times New Roman" w:eastAsia="Times New Roman" w:cs="Times New Roman"/>
        <w:b w:val="0"/>
        <w:bCs w:val="0"/>
        <w:i w:val="0"/>
        <w:iCs w:val="0"/>
        <w:sz w:val="24"/>
        <w:szCs w:val="24"/>
        <w:u w:val="none"/>
      </w:rPr>
      <w:tcPr>
        <w:shd w:val="clear" w:color="auto" w:fill="BDD6EE"/>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Jxf9ejB4OMyAHD5z71RHAR8Dw==">CgMxLjAyDmgub2djMjB3aGE1dHcxMg5oLmVkYjNhcXo4NTRjNjIOaC5qdGV2dTV1MnpyaGwyDmguYXNnd3dmejZvY2dhMg5oLjdjdm52cGc4eTRzaDIOaC5sc3NoOWJyb2dtcXM4AHIhMVMxVV9DcmxuVVlPS0xkb1Ria2g1UEQ3U3lKOTFkNkJ5</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Words>1858</Words>
  <Characters>12212</Characters>
  <TotalTime>2</TotalTime>
  <ScaleCrop>false</ScaleCrop>
  <LinksUpToDate>false</LinksUpToDate>
  <CharactersWithSpaces>13969</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Huy Hoàng</cp:lastModifiedBy>
  <dcterms:modified xsi:type="dcterms:W3CDTF">2026-09-24T16:10:39Z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