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mk7xn7hhn0q" w:id="0"/>
      <w:bookmarkEnd w:id="0"/>
      <w:r w:rsidDel="00000000" w:rsidR="00000000" w:rsidRPr="00000000">
        <w:rPr>
          <w:rtl w:val="0"/>
        </w:rPr>
        <w:t xml:space="preserve">INFORME TP AUTÓMATAS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center"/>
        <w:rPr>
          <w:color w:val="000000"/>
        </w:rPr>
      </w:pPr>
      <w:bookmarkStart w:colFirst="0" w:colLast="0" w:name="_pcwjjl6c5lr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360" w:lineRule="auto"/>
        <w:jc w:val="center"/>
        <w:rPr>
          <w:color w:val="000000"/>
        </w:rPr>
      </w:pPr>
      <w:bookmarkStart w:colFirst="0" w:colLast="0" w:name="_qmwf89bf6hf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360" w:lineRule="auto"/>
        <w:jc w:val="center"/>
        <w:rPr>
          <w:b w:val="1"/>
          <w:color w:val="000000"/>
          <w:sz w:val="38"/>
          <w:szCs w:val="38"/>
        </w:rPr>
      </w:pPr>
      <w:bookmarkStart w:colFirst="0" w:colLast="0" w:name="_kd9v2ejh9k4w" w:id="3"/>
      <w:bookmarkEnd w:id="3"/>
      <w:r w:rsidDel="00000000" w:rsidR="00000000" w:rsidRPr="00000000">
        <w:rPr>
          <w:color w:val="000000"/>
          <w:rtl w:val="0"/>
        </w:rPr>
        <w:t xml:space="preserve">Materia: SSL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line="360" w:lineRule="auto"/>
        <w:jc w:val="center"/>
        <w:rPr>
          <w:b w:val="1"/>
          <w:color w:val="000000"/>
          <w:sz w:val="38"/>
          <w:szCs w:val="38"/>
        </w:rPr>
      </w:pPr>
      <w:bookmarkStart w:colFirst="0" w:colLast="0" w:name="_l155ngt7l39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360" w:lineRule="auto"/>
        <w:jc w:val="center"/>
        <w:rPr>
          <w:b w:val="1"/>
          <w:color w:val="000000"/>
          <w:sz w:val="38"/>
          <w:szCs w:val="38"/>
        </w:rPr>
      </w:pPr>
      <w:bookmarkStart w:colFirst="0" w:colLast="0" w:name="_qxzzdipawins" w:id="5"/>
      <w:bookmarkEnd w:id="5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Explicación del pensamiento detrás del trabajo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35012" cy="208346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012" cy="208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b w:val="1"/>
          <w:rtl w:val="0"/>
        </w:rPr>
        <w:t xml:space="preserve"> de entrega:</w:t>
      </w:r>
      <w:r w:rsidDel="00000000" w:rsidR="00000000" w:rsidRPr="00000000">
        <w:rPr>
          <w:rtl w:val="0"/>
        </w:rPr>
        <w:t xml:space="preserve"> 1/10/2023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Integrantes </w:t>
      </w:r>
      <w:r w:rsidDel="00000000" w:rsidR="00000000" w:rsidRPr="00000000">
        <w:rPr>
          <w:b w:val="1"/>
          <w:color w:val="202124"/>
          <w:rtl w:val="0"/>
        </w:rPr>
        <w:t xml:space="preserve">Grupo 25</w:t>
      </w:r>
      <w:r w:rsidDel="00000000" w:rsidR="00000000" w:rsidRPr="00000000">
        <w:rPr>
          <w:b w:val="1"/>
          <w:color w:val="2021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-CACACE, Guillermo Federico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-CALÓ, Ignacio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-GOMEZ PEREYRA, Manuel Francisco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MAJER, Cecilia Alejandra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-TROSSERO, Agustín Francisco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PUNTO 1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Antes de comenzar con el diseño de los autómatas, primero dedujimos la ERX testeada en el html provisto en clase: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71900" cy="3114675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ERX: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/^((0[Xx][1-9A-Fa-f][0-9A-Fa-f]*|0[1-7][0-7]*|\-{0,1}[1-9][0-9]*|0x0|0c0|0)\$)*$/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punto 1 decidimos hacer los tres autómatas por separado dado que consideramos que sería una forma más fácil de llevar a código, además de una forma más prolija de diagramar cada uno de los autómatas.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continuación, los tres autómatas con sus respectivas TT: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Decimal: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46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Hexadecimal: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6256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Octal: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765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vez hecho esto, pasamos a crearlos en C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38738" cy="268367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683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estos se puede apreciar la tabla de transiciones hecha en una matriz llamada “estados”, los estados inicial y final (donde ambos son 0), y creamos una variable “estado” la cual marca la posición en donde estamos en la tabla. Por último obtenemos el largo de la cadena y pasamos a leerla caracter a caracter.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0701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 parte varía según el autómata (hexadecimal, decimal y octal), pero la lógica es la misma. Cuando los if validan con algún carácter, se actualiza la fila a la que nos movemos en la tabla “estados” con la variable “estado”, en caso de que no reconozca algún carácter, nos movemos a la fila 4(rechazo), y al final comprobamos que el estado que salio del ciclo for sea un estado final(en este caso el 0), si es cierto, devolvemos 0, sino un -1.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Luego juntaremos los tres autómatas para reconocer si en alguno de los tres hubo error léxico, en una función llamada “</w:t>
      </w:r>
      <w:r w:rsidDel="00000000" w:rsidR="00000000" w:rsidRPr="00000000">
        <w:rPr>
          <w:sz w:val="26"/>
          <w:szCs w:val="26"/>
          <w:rtl w:val="0"/>
        </w:rPr>
        <w:t xml:space="preserve">obtenerNumeros</w:t>
      </w:r>
      <w:r w:rsidDel="00000000" w:rsidR="00000000" w:rsidRPr="00000000">
        <w:rPr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Primero declaramos una variable llamada “cadena” dándole un espacio específico, le pedimos al usuario que nos ingrese la cadena de números separada por $, y se la pasamos a la función que tiene los autómatas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09017" cy="1138444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017" cy="1138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esta función declaramos los contadores de cada autómata y copiamos la cadena que se recibe en una variable “copia” a la cual vamos dividiendo con “strtok” en partes que terminen con $, pero como esta función “agarra” todo lo que esté HASTA cierto carácter, luego de copiarlo en “analizar” tenemos que volverlo a agregar con “strcat”.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Mientras vaya reconociendo tokens, los va a ir mostrando en pantalla.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146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Dentro del while tenemos una cadena de if en donde la cadena obtenida se manda a cada autómata, y si uno de estos la reconoce, aumenta su contador. Una vez que sale de esta cadena, avanzamos a la siguiente parte de la expresión que termine con $.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1550707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continuación vemos un ejemplo de su funcionalidad, donde se pudo reconocer 3 cadenas decimales(-78, 88 y 0), una octal(075), y una hexadecimal(0xAFF1).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10025" cy="19431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Abajo está el mismo ejemplo pero demostrando que admite tanto mayúsculas como minúsculas.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38575" cy="2238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ejemplo de cómo </w:t>
      </w:r>
      <w:r w:rsidDel="00000000" w:rsidR="00000000" w:rsidRPr="00000000">
        <w:rPr>
          <w:sz w:val="26"/>
          <w:szCs w:val="26"/>
          <w:rtl w:val="0"/>
        </w:rPr>
        <w:t xml:space="preserve">rechaza</w:t>
      </w:r>
      <w:r w:rsidDel="00000000" w:rsidR="00000000" w:rsidRPr="00000000">
        <w:rPr>
          <w:sz w:val="26"/>
          <w:szCs w:val="26"/>
          <w:rtl w:val="0"/>
        </w:rPr>
        <w:t xml:space="preserve"> cadenas incorrectas es el siguiente, ya que el autómata octal no admite 8 ni 9. El $$ es ignorado como se vé en el segundo.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43375" cy="838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Tampoco admite 0’s a la izquierda sea para cualquier sistema: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05275" cy="101917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Otro caso de error, por ejemplo se ingresa una cadena que no es reconocida por ningún autómata porque hay un carácter ‘p’ colado en la cadena.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71925" cy="10382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PUNTO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punto 2 (</w:t>
      </w:r>
      <w:r w:rsidDel="00000000" w:rsidR="00000000" w:rsidRPr="00000000">
        <w:rPr>
          <w:sz w:val="26"/>
          <w:szCs w:val="26"/>
          <w:rtl w:val="0"/>
        </w:rPr>
        <w:t xml:space="preserve">caracterNumericoAEntero</w:t>
      </w:r>
      <w:r w:rsidDel="00000000" w:rsidR="00000000" w:rsidRPr="00000000">
        <w:rPr>
          <w:sz w:val="26"/>
          <w:szCs w:val="26"/>
          <w:rtl w:val="0"/>
        </w:rPr>
        <w:t xml:space="preserve">) realizamos una función que dado un carácter numérico (del ‘0’ al ‘9’), traduzca mediante un cálculo a un entero operable teniendo en cuenta los valores de la tabla ASCII.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906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Testeo número normal: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48250" cy="69532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Testeo numero mal ingresado. Debe dar un error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57650" cy="71437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PUNTO 3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punto 3 decidimos optar por usar el autómata decimal, modificándolo brevemente en la función </w:t>
      </w:r>
      <w:r w:rsidDel="00000000" w:rsidR="00000000" w:rsidRPr="00000000">
        <w:rPr>
          <w:sz w:val="26"/>
          <w:szCs w:val="26"/>
          <w:rtl w:val="0"/>
        </w:rPr>
        <w:t xml:space="preserve">expresionValida</w:t>
      </w:r>
      <w:r w:rsidDel="00000000" w:rsidR="00000000" w:rsidRPr="00000000">
        <w:rPr>
          <w:sz w:val="26"/>
          <w:szCs w:val="26"/>
          <w:rtl w:val="0"/>
        </w:rPr>
        <w:t xml:space="preserve"> (hacemos una copia de la expresión, en esa copia reemplazamos los operadores por “$”, y lo validamos con el autómata decimal), con la cual podemos verificar que la composición de la expresión matemática dada sea correcta.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la función principal pedimos que se ingrese una cadena que contenga una expresión matemática, y esta es validada por la función “expresiónValida”. En caso de pasar este control, se ejecutará “evaluarExpresión”.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24413" cy="243951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439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ExpresiónValida lee la cadena y reemplaza los símbolos de suma, resta, mul y div, por $, para luego pasarle esta cadena al automata decimal que hicimos en el punto 1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24463" cy="1697479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697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Luego de que la cadena está validada, se utiliza el algoritmo (</w:t>
      </w:r>
      <w:r w:rsidDel="00000000" w:rsidR="00000000" w:rsidRPr="00000000">
        <w:rPr>
          <w:sz w:val="26"/>
          <w:szCs w:val="26"/>
          <w:rtl w:val="0"/>
        </w:rPr>
        <w:t xml:space="preserve">evaluarExpresion</w:t>
      </w:r>
      <w:r w:rsidDel="00000000" w:rsidR="00000000" w:rsidRPr="00000000">
        <w:rPr>
          <w:sz w:val="26"/>
          <w:szCs w:val="26"/>
          <w:rtl w:val="0"/>
        </w:rPr>
        <w:t xml:space="preserve">) para resolver una cadena de chars, dividiéndolos entre dos arrays, una de “numeros” (utilizando un algoritmo similar al del punto 2) y otra de “operadores”. 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131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luego establecer la precedencia con un switch, y hacemos lo mismo para realizar las operaciones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48188" cy="2743879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743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En el caso de que se ingrese una cadena inválida, se mostrará un mensaje de error.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Decidimos tomar como límite una operación matemática de hasta 100 caracteres para simplificar el código, ya que consideramos innecesaria y fútil la evaluación de una operación matemática simple más larga.</w:t>
        <w:br w:type="textWrapping"/>
        <w:t xml:space="preserve">Tests: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Testeo operación descrita en el TP (3+4*8/2+3-5). Debe dar 17.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Otro testeo precedencia (Operación 3+4*5). Debe dar 23.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Testeo cadena errónea (doble operador. Ej: 3++5). Debe dar error.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Debajo se muestran estos tres casos juntos: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62425" cy="11906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Testeo caracter invalido (Ej: 3+4{*5). Debe dar error: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43375" cy="5048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footerReference r:id="rId32" w:type="default"/>
      <w:footerReference r:id="rId33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ind w:left="72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  <w:t xml:space="preserve">Autómatas </w:t>
      <w:tab/>
      <w:tab/>
      <w:tab/>
      <w:tab/>
      <w:tab/>
      <w:tab/>
      <w:tab/>
      <w:tab/>
      <w:t xml:space="preserve">  Grupo 25 K2055</w:t>
    </w:r>
  </w:p>
  <w:p w:rsidR="00000000" w:rsidDel="00000000" w:rsidP="00000000" w:rsidRDefault="00000000" w:rsidRPr="00000000" w14:paraId="0000008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  <w:tab/>
      <w:tab/>
      <w:tab/>
      <w:tab/>
    </w:r>
    <w:r w:rsidDel="00000000" w:rsidR="00000000" w:rsidRPr="00000000">
      <w:rPr/>
      <w:pict>
        <v:shape id="PowerPlusWaterMarkObject2" style="position:absolute;width:565.5441027502299pt;height:72.655957775178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Grupo 25 SYS 2023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/>
      <w:pict>
        <v:shape id="PowerPlusWaterMarkObject1" style="position:absolute;width:565.5441027502299pt;height:72.655957775178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Grupo 25 SYS 2023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image" Target="media/image18.png"/><Relationship Id="rId24" Type="http://schemas.openxmlformats.org/officeDocument/2006/relationships/image" Target="media/image2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2.png"/><Relationship Id="rId25" Type="http://schemas.openxmlformats.org/officeDocument/2006/relationships/image" Target="media/image16.png"/><Relationship Id="rId28" Type="http://schemas.openxmlformats.org/officeDocument/2006/relationships/image" Target="media/image21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3.png"/><Relationship Id="rId7" Type="http://schemas.openxmlformats.org/officeDocument/2006/relationships/image" Target="media/image23.png"/><Relationship Id="rId8" Type="http://schemas.openxmlformats.org/officeDocument/2006/relationships/image" Target="media/image8.png"/><Relationship Id="rId31" Type="http://schemas.openxmlformats.org/officeDocument/2006/relationships/header" Target="header2.xml"/><Relationship Id="rId30" Type="http://schemas.openxmlformats.org/officeDocument/2006/relationships/header" Target="header1.xml"/><Relationship Id="rId11" Type="http://schemas.openxmlformats.org/officeDocument/2006/relationships/image" Target="media/image6.png"/><Relationship Id="rId33" Type="http://schemas.openxmlformats.org/officeDocument/2006/relationships/footer" Target="footer2.xml"/><Relationship Id="rId10" Type="http://schemas.openxmlformats.org/officeDocument/2006/relationships/image" Target="media/image10.png"/><Relationship Id="rId32" Type="http://schemas.openxmlformats.org/officeDocument/2006/relationships/footer" Target="footer1.xml"/><Relationship Id="rId13" Type="http://schemas.openxmlformats.org/officeDocument/2006/relationships/image" Target="media/image20.png"/><Relationship Id="rId12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19" Type="http://schemas.openxmlformats.org/officeDocument/2006/relationships/image" Target="media/image19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