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255" w:rsidRPr="00C00A0E" w:rsidRDefault="007E7255" w:rsidP="007E7255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第８</w:t>
      </w:r>
      <w:r w:rsidRPr="00C00A0E">
        <w:rPr>
          <w:rFonts w:ascii="Times New Roman" w:hAnsi="Times New Roman"/>
          <w:b/>
          <w:sz w:val="32"/>
          <w:szCs w:val="32"/>
        </w:rPr>
        <w:t>章</w:t>
      </w:r>
      <w:r w:rsidRPr="00C00A0E">
        <w:rPr>
          <w:rFonts w:ascii="Times New Roman" w:hAnsi="Times New Roman"/>
          <w:b/>
          <w:sz w:val="32"/>
          <w:szCs w:val="32"/>
        </w:rPr>
        <w:t xml:space="preserve"> </w:t>
      </w:r>
      <w:r w:rsidRPr="00C00A0E">
        <w:rPr>
          <w:rFonts w:ascii="Times New Roman" w:hAnsi="Times New Roman"/>
          <w:b/>
          <w:sz w:val="32"/>
          <w:szCs w:val="32"/>
        </w:rPr>
        <w:t>逆向选择与品牌和政府管制</w:t>
      </w:r>
    </w:p>
    <w:p w:rsidR="007E7255" w:rsidRPr="00C00A0E" w:rsidRDefault="007E7255" w:rsidP="007E7255">
      <w:pPr>
        <w:rPr>
          <w:rFonts w:ascii="Times New Roman" w:hAnsi="Times New Roman"/>
        </w:rPr>
      </w:pPr>
    </w:p>
    <w:p w:rsidR="007E7255" w:rsidRPr="00C00A0E" w:rsidRDefault="007E7255" w:rsidP="007E7255">
      <w:pPr>
        <w:rPr>
          <w:rFonts w:ascii="Times New Roman" w:hAnsi="Times New Roman" w:hint="eastAsia"/>
          <w:b/>
        </w:rPr>
      </w:pPr>
      <w:r w:rsidRPr="00C00A0E"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.</w:t>
      </w:r>
      <w:r>
        <w:rPr>
          <w:rFonts w:ascii="Times New Roman" w:hAnsi="Times New Roman" w:hint="eastAsia"/>
          <w:b/>
        </w:rPr>
        <w:t xml:space="preserve"> </w:t>
      </w:r>
      <w:r w:rsidRPr="00C00A0E">
        <w:rPr>
          <w:rFonts w:ascii="Times New Roman" w:hAnsi="Times New Roman" w:hint="eastAsia"/>
          <w:b/>
        </w:rPr>
        <w:t>参考答案：</w:t>
      </w:r>
    </w:p>
    <w:p w:rsidR="007E7255" w:rsidRDefault="007E7255" w:rsidP="007E7255">
      <w:pPr>
        <w:ind w:firstLineChars="200" w:firstLine="42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）只有当</w:t>
      </w:r>
      <w:r w:rsidRPr="00C00A0E">
        <w:rPr>
          <w:rFonts w:ascii="Times New Roman" w:hAnsi="Times New Roman"/>
          <w:position w:val="-10"/>
        </w:rPr>
        <w:object w:dxaOrig="14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75pt;height:15.75pt" o:ole="">
            <v:imagedata r:id="rId5" o:title=""/>
          </v:shape>
          <o:OLEObject Type="Embed" ProgID="Equation.3" ShapeID="_x0000_i1025" DrawAspect="Content" ObjectID="_1556453335" r:id="rId6"/>
        </w:object>
      </w:r>
      <w:r>
        <w:rPr>
          <w:rFonts w:ascii="Times New Roman" w:hAnsi="Times New Roman" w:hint="eastAsia"/>
        </w:rPr>
        <w:t>时，卖主才愿意出售汽车。因此，当市场上的价格为</w:t>
      </w:r>
      <w:r w:rsidRPr="00C00A0E">
        <w:rPr>
          <w:rFonts w:ascii="Times New Roman" w:hAnsi="Times New Roman"/>
          <w:position w:val="-10"/>
        </w:rPr>
        <w:object w:dxaOrig="220" w:dyaOrig="240">
          <v:shape id="_x0000_i1026" type="#_x0000_t75" style="width:11.25pt;height:12pt" o:ole="">
            <v:imagedata r:id="rId7" o:title=""/>
          </v:shape>
          <o:OLEObject Type="Embed" ProgID="Equation.3" ShapeID="_x0000_i1026" DrawAspect="Content" ObjectID="_1556453336" r:id="rId8"/>
        </w:object>
      </w:r>
      <w:r>
        <w:rPr>
          <w:rFonts w:ascii="Times New Roman" w:hAnsi="Times New Roman" w:hint="eastAsia"/>
        </w:rPr>
        <w:t>时，所有出售汽车的卖主的真实价值</w:t>
      </w:r>
      <w:r w:rsidRPr="001C0E7D">
        <w:rPr>
          <w:rFonts w:ascii="Times New Roman" w:hAnsi="Times New Roman"/>
          <w:position w:val="-6"/>
        </w:rPr>
        <w:object w:dxaOrig="200" w:dyaOrig="279">
          <v:shape id="_x0000_i1027" type="#_x0000_t75" style="width:9.75pt;height:14.25pt" o:ole="">
            <v:imagedata r:id="rId9" o:title=""/>
          </v:shape>
          <o:OLEObject Type="Embed" ProgID="Equation.3" ShapeID="_x0000_i1027" DrawAspect="Content" ObjectID="_1556453337" r:id="rId10"/>
        </w:object>
      </w:r>
      <w:r>
        <w:rPr>
          <w:rFonts w:ascii="Times New Roman" w:hAnsi="Times New Roman" w:hint="eastAsia"/>
        </w:rPr>
        <w:t>一定不大于临界值</w:t>
      </w:r>
      <w:r w:rsidRPr="00C828CF">
        <w:rPr>
          <w:rFonts w:ascii="Times New Roman" w:hAnsi="Times New Roman"/>
          <w:position w:val="-6"/>
        </w:rPr>
        <w:object w:dxaOrig="200" w:dyaOrig="340">
          <v:shape id="_x0000_i1028" type="#_x0000_t75" style="width:9.75pt;height:17.25pt" o:ole="">
            <v:imagedata r:id="rId11" o:title=""/>
          </v:shape>
          <o:OLEObject Type="Embed" ProgID="Equation.3" ShapeID="_x0000_i1028" DrawAspect="Content" ObjectID="_1556453338" r:id="rId12"/>
        </w:object>
      </w:r>
      <w:r>
        <w:rPr>
          <w:rFonts w:ascii="Times New Roman" w:hAnsi="Times New Roman" w:hint="eastAsia"/>
        </w:rPr>
        <w:t>，其中</w:t>
      </w:r>
      <w:r w:rsidRPr="00C828CF">
        <w:rPr>
          <w:rFonts w:ascii="Times New Roman" w:hAnsi="Times New Roman"/>
          <w:position w:val="-6"/>
        </w:rPr>
        <w:object w:dxaOrig="200" w:dyaOrig="340">
          <v:shape id="_x0000_i1029" type="#_x0000_t75" style="width:9.75pt;height:17.25pt" o:ole="">
            <v:imagedata r:id="rId13" o:title=""/>
          </v:shape>
          <o:OLEObject Type="Embed" ProgID="Equation.3" ShapeID="_x0000_i1029" DrawAspect="Content" ObjectID="_1556453339" r:id="rId14"/>
        </w:object>
      </w:r>
      <w:r>
        <w:rPr>
          <w:rFonts w:ascii="Times New Roman" w:hAnsi="Times New Roman" w:hint="eastAsia"/>
        </w:rPr>
        <w:t>使</w:t>
      </w:r>
      <w:r w:rsidRPr="00C00A0E">
        <w:rPr>
          <w:rFonts w:ascii="Times New Roman" w:hAnsi="Times New Roman"/>
          <w:position w:val="-10"/>
        </w:rPr>
        <w:object w:dxaOrig="1100" w:dyaOrig="380">
          <v:shape id="_x0000_i1030" type="#_x0000_t75" style="width:54.75pt;height:18.75pt" o:ole="">
            <v:imagedata r:id="rId15" o:title=""/>
          </v:shape>
          <o:OLEObject Type="Embed" ProgID="Equation.3" ShapeID="_x0000_i1030" DrawAspect="Content" ObjectID="_1556453340" r:id="rId16"/>
        </w:object>
      </w:r>
      <w:r>
        <w:rPr>
          <w:rFonts w:ascii="Times New Roman" w:hAnsi="Times New Roman" w:hint="eastAsia"/>
        </w:rPr>
        <w:t>成立。由于</w:t>
      </w:r>
      <w:r w:rsidRPr="00C00A0E">
        <w:rPr>
          <w:rFonts w:ascii="Times New Roman" w:hAnsi="Times New Roman"/>
          <w:position w:val="-6"/>
        </w:rPr>
        <w:object w:dxaOrig="200" w:dyaOrig="260">
          <v:shape id="_x0000_i1031" type="#_x0000_t75" style="width:9.75pt;height:12.75pt" o:ole="">
            <v:imagedata r:id="rId17" o:title=""/>
          </v:shape>
          <o:OLEObject Type="Embed" ProgID="Equation.3" ShapeID="_x0000_i1031" DrawAspect="Content" ObjectID="_1556453341" r:id="rId18"/>
        </w:object>
      </w:r>
      <w:r w:rsidRPr="00C00A0E">
        <w:rPr>
          <w:rFonts w:ascii="Times New Roman" w:hAnsi="Times New Roman"/>
        </w:rPr>
        <w:t>服从</w:t>
      </w:r>
      <w:r w:rsidRPr="00C00A0E">
        <w:rPr>
          <w:rFonts w:ascii="Times New Roman" w:hAnsi="Times New Roman"/>
        </w:rPr>
        <w:t>[0</w:t>
      </w:r>
      <w:r w:rsidRPr="00C00A0E">
        <w:rPr>
          <w:rFonts w:ascii="Times New Roman" w:hAnsi="Times New Roman"/>
        </w:rPr>
        <w:t>，</w:t>
      </w:r>
      <w:r w:rsidRPr="00C00A0E">
        <w:rPr>
          <w:rFonts w:ascii="Times New Roman" w:hAnsi="Times New Roman"/>
        </w:rPr>
        <w:t>1]</w:t>
      </w:r>
      <w:r w:rsidRPr="00C00A0E">
        <w:rPr>
          <w:rFonts w:ascii="Times New Roman" w:hAnsi="Times New Roman"/>
        </w:rPr>
        <w:t>上的均匀分布</w:t>
      </w:r>
      <w:r>
        <w:rPr>
          <w:rFonts w:ascii="Times New Roman" w:hAnsi="Times New Roman" w:hint="eastAsia"/>
        </w:rPr>
        <w:t>，因此市场上车辆的价值期望为：</w:t>
      </w:r>
      <w:r w:rsidRPr="00223679">
        <w:rPr>
          <w:rFonts w:ascii="Times New Roman" w:hAnsi="Times New Roman"/>
          <w:position w:val="-24"/>
        </w:rPr>
        <w:object w:dxaOrig="2439" w:dyaOrig="680">
          <v:shape id="_x0000_i1032" type="#_x0000_t75" style="width:122.25pt;height:33.75pt" o:ole="">
            <v:imagedata r:id="rId19" o:title=""/>
          </v:shape>
          <o:OLEObject Type="Embed" ProgID="Equation.3" ShapeID="_x0000_i1032" DrawAspect="Content" ObjectID="_1556453342" r:id="rId20"/>
        </w:object>
      </w:r>
      <w:r>
        <w:rPr>
          <w:rFonts w:ascii="Times New Roman" w:hAnsi="Times New Roman" w:hint="eastAsia"/>
        </w:rPr>
        <w:t>。</w:t>
      </w:r>
    </w:p>
    <w:p w:rsidR="007E7255" w:rsidRDefault="007E7255" w:rsidP="007E7255">
      <w:pPr>
        <w:ind w:firstLineChars="200" w:firstLine="42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）当</w:t>
      </w:r>
      <w:r w:rsidRPr="00C00A0E">
        <w:rPr>
          <w:rFonts w:ascii="Times New Roman" w:hAnsi="Times New Roman"/>
          <w:position w:val="-22"/>
        </w:rPr>
        <w:object w:dxaOrig="1640" w:dyaOrig="600">
          <v:shape id="_x0000_i1033" type="#_x0000_t75" style="width:81.75pt;height:30pt" o:ole="">
            <v:imagedata r:id="rId21" o:title=""/>
          </v:shape>
          <o:OLEObject Type="Embed" ProgID="Equation.3" ShapeID="_x0000_i1033" DrawAspect="Content" ObjectID="_1556453343" r:id="rId22"/>
        </w:object>
      </w:r>
      <w:r>
        <w:rPr>
          <w:rFonts w:ascii="Times New Roman" w:hAnsi="Times New Roman" w:hint="eastAsia"/>
        </w:rPr>
        <w:t>，临界的</w:t>
      </w:r>
      <w:r w:rsidRPr="000872C4">
        <w:rPr>
          <w:rFonts w:ascii="Times New Roman" w:hAnsi="Times New Roman"/>
          <w:position w:val="-10"/>
        </w:rPr>
        <w:object w:dxaOrig="740" w:dyaOrig="380">
          <v:shape id="_x0000_i1034" type="#_x0000_t75" style="width:36.75pt;height:18.75pt" o:ole="">
            <v:imagedata r:id="rId23" o:title=""/>
          </v:shape>
          <o:OLEObject Type="Embed" ProgID="Equation.3" ShapeID="_x0000_i1034" DrawAspect="Content" ObjectID="_1556453344" r:id="rId24"/>
        </w:object>
      </w:r>
      <w:r>
        <w:rPr>
          <w:rFonts w:ascii="Times New Roman" w:hAnsi="Times New Roman" w:hint="eastAsia"/>
        </w:rPr>
        <w:t>。此时，</w:t>
      </w:r>
      <w:r w:rsidRPr="00C828CF">
        <w:rPr>
          <w:rFonts w:ascii="Times New Roman" w:hAnsi="Times New Roman"/>
          <w:position w:val="-24"/>
        </w:rPr>
        <w:object w:dxaOrig="1219" w:dyaOrig="620">
          <v:shape id="_x0000_i1035" type="#_x0000_t75" style="width:60.75pt;height:30.75pt" o:ole="">
            <v:imagedata r:id="rId25" o:title=""/>
          </v:shape>
          <o:OLEObject Type="Embed" ProgID="Equation.3" ShapeID="_x0000_i1035" DrawAspect="Content" ObjectID="_1556453345" r:id="rId26"/>
        </w:object>
      </w:r>
      <w:r>
        <w:rPr>
          <w:rFonts w:ascii="Times New Roman" w:hAnsi="Times New Roman" w:hint="eastAsia"/>
        </w:rPr>
        <w:t>，此即为卖方的供给曲线。而需求曲线则为：</w:t>
      </w:r>
      <w:r w:rsidRPr="00C828CF">
        <w:rPr>
          <w:rFonts w:ascii="Times New Roman" w:hAnsi="Times New Roman"/>
          <w:position w:val="-10"/>
        </w:rPr>
        <w:object w:dxaOrig="660" w:dyaOrig="360">
          <v:shape id="_x0000_i1036" type="#_x0000_t75" style="width:33pt;height:18pt" o:ole="">
            <v:imagedata r:id="rId27" o:title=""/>
          </v:shape>
          <o:OLEObject Type="Embed" ProgID="Equation.3" ShapeID="_x0000_i1036" DrawAspect="Content" ObjectID="_1556453346" r:id="rId28"/>
        </w:object>
      </w:r>
      <w:r>
        <w:rPr>
          <w:rFonts w:ascii="Times New Roman" w:hAnsi="Times New Roman" w:hint="eastAsia"/>
        </w:rPr>
        <w:t>。即需求曲线和供给曲线是完全相同的，这说明，所有的价格和平均质量都可以得到成交。因此，市场并不会有任何萎缩。</w:t>
      </w:r>
    </w:p>
    <w:p w:rsidR="007E7255" w:rsidRDefault="007E7255" w:rsidP="007E7255">
      <w:pPr>
        <w:ind w:firstLineChars="200" w:firstLine="42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）当</w:t>
      </w:r>
      <w:r w:rsidRPr="00C00A0E">
        <w:rPr>
          <w:rFonts w:ascii="Times New Roman" w:hAnsi="Times New Roman"/>
          <w:position w:val="-10"/>
        </w:rPr>
        <w:object w:dxaOrig="1680" w:dyaOrig="360">
          <v:shape id="_x0000_i1037" type="#_x0000_t75" style="width:84pt;height:18pt" o:ole="">
            <v:imagedata r:id="rId29" o:title=""/>
          </v:shape>
          <o:OLEObject Type="Embed" ProgID="Equation.3" ShapeID="_x0000_i1037" DrawAspect="Content" ObjectID="_1556453347" r:id="rId30"/>
        </w:object>
      </w:r>
      <w:r>
        <w:rPr>
          <w:rFonts w:ascii="Times New Roman" w:hAnsi="Times New Roman" w:hint="eastAsia"/>
        </w:rPr>
        <w:t>，临界的</w:t>
      </w:r>
      <w:r w:rsidRPr="000872C4">
        <w:rPr>
          <w:rFonts w:ascii="Times New Roman" w:hAnsi="Times New Roman"/>
          <w:position w:val="-10"/>
        </w:rPr>
        <w:object w:dxaOrig="840" w:dyaOrig="380">
          <v:shape id="_x0000_i1038" type="#_x0000_t75" style="width:42pt;height:18.75pt" o:ole="">
            <v:imagedata r:id="rId31" o:title=""/>
          </v:shape>
          <o:OLEObject Type="Embed" ProgID="Equation.3" ShapeID="_x0000_i1038" DrawAspect="Content" ObjectID="_1556453348" r:id="rId32"/>
        </w:object>
      </w:r>
      <w:r>
        <w:rPr>
          <w:rFonts w:ascii="Times New Roman" w:hAnsi="Times New Roman" w:hint="eastAsia"/>
        </w:rPr>
        <w:t>。此时，</w:t>
      </w:r>
      <w:r w:rsidRPr="0044687A">
        <w:rPr>
          <w:rFonts w:ascii="Times New Roman" w:hAnsi="Times New Roman"/>
          <w:position w:val="-24"/>
        </w:rPr>
        <w:object w:dxaOrig="940" w:dyaOrig="660">
          <v:shape id="_x0000_i1039" type="#_x0000_t75" style="width:47.25pt;height:33pt" o:ole="">
            <v:imagedata r:id="rId33" o:title=""/>
          </v:shape>
          <o:OLEObject Type="Embed" ProgID="Equation.3" ShapeID="_x0000_i1039" DrawAspect="Content" ObjectID="_1556453349" r:id="rId34"/>
        </w:object>
      </w:r>
      <w:r>
        <w:rPr>
          <w:rFonts w:ascii="Times New Roman" w:hAnsi="Times New Roman" w:hint="eastAsia"/>
        </w:rPr>
        <w:t>，此即为卖方的供给曲线。而需求曲线为：</w:t>
      </w:r>
      <w:r w:rsidRPr="00794E47">
        <w:rPr>
          <w:rFonts w:ascii="Times New Roman" w:hAnsi="Times New Roman"/>
          <w:position w:val="-10"/>
        </w:rPr>
        <w:object w:dxaOrig="660" w:dyaOrig="360">
          <v:shape id="_x0000_i1040" type="#_x0000_t75" style="width:33pt;height:18pt" o:ole="">
            <v:imagedata r:id="rId35" o:title=""/>
          </v:shape>
          <o:OLEObject Type="Embed" ProgID="Equation.3" ShapeID="_x0000_i1040" DrawAspect="Content" ObjectID="_1556453350" r:id="rId36"/>
        </w:object>
      </w:r>
      <w:r>
        <w:rPr>
          <w:rFonts w:ascii="Times New Roman" w:hAnsi="Times New Roman" w:hint="eastAsia"/>
        </w:rPr>
        <w:t>。容易解得，</w:t>
      </w:r>
      <w:r w:rsidRPr="00711489">
        <w:rPr>
          <w:rFonts w:ascii="Times New Roman" w:hAnsi="Times New Roman"/>
          <w:position w:val="-10"/>
        </w:rPr>
        <w:object w:dxaOrig="1660" w:dyaOrig="360">
          <v:shape id="_x0000_i1041" type="#_x0000_t75" style="width:83.25pt;height:18pt" o:ole="">
            <v:imagedata r:id="rId37" o:title=""/>
          </v:shape>
          <o:OLEObject Type="Embed" ProgID="Equation.3" ShapeID="_x0000_i1041" DrawAspect="Content" ObjectID="_1556453351" r:id="rId38"/>
        </w:object>
      </w:r>
      <w:r>
        <w:rPr>
          <w:rFonts w:ascii="Times New Roman" w:hAnsi="Times New Roman" w:hint="eastAsia"/>
        </w:rPr>
        <w:t>，即均衡价格为</w:t>
      </w:r>
      <w:r w:rsidRPr="00711489">
        <w:rPr>
          <w:rFonts w:ascii="Times New Roman" w:hAnsi="Times New Roman"/>
          <w:position w:val="-10"/>
        </w:rPr>
        <w:object w:dxaOrig="820" w:dyaOrig="360">
          <v:shape id="_x0000_i1042" type="#_x0000_t75" style="width:41.25pt;height:18pt" o:ole="">
            <v:imagedata r:id="rId39" o:title=""/>
          </v:shape>
          <o:OLEObject Type="Embed" ProgID="Equation.3" ShapeID="_x0000_i1042" DrawAspect="Content" ObjectID="_1556453352" r:id="rId40"/>
        </w:object>
      </w:r>
      <w:r>
        <w:rPr>
          <w:rFonts w:ascii="Times New Roman" w:hAnsi="Times New Roman" w:hint="eastAsia"/>
        </w:rPr>
        <w:t>。</w:t>
      </w:r>
    </w:p>
    <w:p w:rsidR="007E7255" w:rsidRDefault="007E7255" w:rsidP="007E7255">
      <w:pPr>
        <w:ind w:firstLineChars="200" w:firstLine="42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>）最高的那个均衡价格是帕累托最优的。注意，由于购买者的人数多于供给者，因此购买者的竞争会让其效用降低为</w:t>
      </w:r>
      <w:r>
        <w:rPr>
          <w:rFonts w:ascii="Times New Roman" w:hAnsi="Times New Roman" w:hint="eastAsia"/>
        </w:rPr>
        <w:t>0</w:t>
      </w:r>
      <w:r>
        <w:rPr>
          <w:rFonts w:ascii="Times New Roman" w:hAnsi="Times New Roman" w:hint="eastAsia"/>
        </w:rPr>
        <w:t>。而更高的均衡价格意味着有更多的车辆能被交易，有更多的车辆供给者可以从中获利，同时并不损害其他人的利益。因此，最高的均衡价格是帕累托最优的。</w:t>
      </w:r>
    </w:p>
    <w:p w:rsidR="007E7255" w:rsidRPr="00C00A0E" w:rsidRDefault="007E7255" w:rsidP="007E7255">
      <w:pPr>
        <w:rPr>
          <w:rFonts w:ascii="Times New Roman" w:hAnsi="Times New Roman"/>
        </w:rPr>
      </w:pPr>
    </w:p>
    <w:p w:rsidR="007E7255" w:rsidRPr="00246375" w:rsidRDefault="007E7255" w:rsidP="007E7255">
      <w:pPr>
        <w:rPr>
          <w:rFonts w:ascii="Times New Roman" w:hAnsi="Times New Roman" w:hint="eastAsia"/>
          <w:b/>
        </w:rPr>
      </w:pPr>
      <w:r w:rsidRPr="00C00A0E">
        <w:rPr>
          <w:rFonts w:ascii="Times New Roman" w:hAnsi="Times New Roman"/>
        </w:rPr>
        <w:t>3</w:t>
      </w:r>
      <w:r>
        <w:rPr>
          <w:rFonts w:ascii="Times New Roman" w:hAnsi="Times New Roman" w:hint="eastAsia"/>
        </w:rPr>
        <w:t>.</w:t>
      </w:r>
      <w:r>
        <w:rPr>
          <w:rFonts w:ascii="Times New Roman" w:hAnsi="Times New Roman" w:hint="eastAsia"/>
          <w:b/>
        </w:rPr>
        <w:t xml:space="preserve"> </w:t>
      </w:r>
      <w:r w:rsidRPr="00246375">
        <w:rPr>
          <w:rFonts w:ascii="Times New Roman" w:hAnsi="Times New Roman" w:hint="eastAsia"/>
          <w:b/>
        </w:rPr>
        <w:t>参考答案：</w:t>
      </w:r>
    </w:p>
    <w:p w:rsidR="007E7255" w:rsidRDefault="007E7255" w:rsidP="007E7255">
      <w:pPr>
        <w:ind w:firstLine="435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“自愿下岗计划”最大的问题是逆向选择。那些能力较高、很容易找到更好就业机会的员工会选择“自愿下岗”，而能力较低，害怕失业后找不到更好工作的员工则会选择留下。事实上，苹果在</w:t>
      </w:r>
      <w:r>
        <w:rPr>
          <w:rFonts w:ascii="Times New Roman" w:hAnsi="Times New Roman" w:hint="eastAsia"/>
        </w:rPr>
        <w:t>20</w:t>
      </w:r>
      <w:r>
        <w:rPr>
          <w:rFonts w:ascii="Times New Roman" w:hAnsi="Times New Roman" w:hint="eastAsia"/>
        </w:rPr>
        <w:t>世纪</w:t>
      </w:r>
      <w:r>
        <w:rPr>
          <w:rFonts w:ascii="Times New Roman" w:hAnsi="Times New Roman" w:hint="eastAsia"/>
        </w:rPr>
        <w:t>90</w:t>
      </w:r>
      <w:r>
        <w:rPr>
          <w:rFonts w:ascii="Times New Roman" w:hAnsi="Times New Roman" w:hint="eastAsia"/>
        </w:rPr>
        <w:t>年代陷入困境后，曾实施过“自愿下岗计划”，因此导致了比较严重的人才流失，这使得公司的困境更为严重。直到乔布斯回归，苹果的困境才得到扭转。</w:t>
      </w:r>
    </w:p>
    <w:p w:rsidR="007E7255" w:rsidRDefault="007E7255" w:rsidP="007E7255">
      <w:pPr>
        <w:ind w:firstLine="435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如果要实施“自愿下岗计划”，那么应该对不同员工实施不同的补偿方案。对于非骨干员工，应该给予相对优厚的待遇，鼓励其自愿下岗，而对于骨干员工，待遇则应该相对苛刻一些。当然，为了保证骨干员工的工作积极性，应当提高其在职待遇作为补偿。</w:t>
      </w:r>
    </w:p>
    <w:p w:rsidR="007E7255" w:rsidRPr="00C00A0E" w:rsidRDefault="007E7255" w:rsidP="007E7255">
      <w:pPr>
        <w:ind w:firstLine="435"/>
        <w:rPr>
          <w:rFonts w:ascii="Times New Roman" w:hAnsi="Times New Roman" w:hint="eastAsia"/>
        </w:rPr>
      </w:pPr>
    </w:p>
    <w:p w:rsidR="007E7255" w:rsidRPr="00DA2723" w:rsidRDefault="007E7255" w:rsidP="007E7255">
      <w:pPr>
        <w:rPr>
          <w:rFonts w:ascii="Times New Roman" w:hAnsi="Times New Roman" w:hint="eastAsia"/>
          <w:b/>
        </w:rPr>
      </w:pPr>
      <w:r w:rsidRPr="00C00A0E">
        <w:rPr>
          <w:rFonts w:ascii="Times New Roman" w:hAnsi="Times New Roman"/>
        </w:rPr>
        <w:t>5</w:t>
      </w:r>
      <w:r>
        <w:rPr>
          <w:rFonts w:ascii="Times New Roman" w:hAnsi="Times New Roman" w:hint="eastAsia"/>
        </w:rPr>
        <w:t>.</w:t>
      </w:r>
      <w:r>
        <w:rPr>
          <w:rFonts w:ascii="Times New Roman" w:hAnsi="Times New Roman" w:hint="eastAsia"/>
          <w:b/>
        </w:rPr>
        <w:t xml:space="preserve"> </w:t>
      </w:r>
      <w:r w:rsidRPr="00DA2723">
        <w:rPr>
          <w:rFonts w:ascii="Times New Roman" w:hAnsi="Times New Roman" w:hint="eastAsia"/>
          <w:b/>
        </w:rPr>
        <w:t>参考答案：</w:t>
      </w:r>
    </w:p>
    <w:p w:rsidR="007E7255" w:rsidRDefault="007E7255" w:rsidP="007E7255">
      <w:pPr>
        <w:ind w:firstLineChars="200" w:firstLine="42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）</w:t>
      </w:r>
      <w:proofErr w:type="gramStart"/>
      <w:r>
        <w:rPr>
          <w:rFonts w:ascii="Times New Roman" w:hAnsi="Times New Roman" w:hint="eastAsia"/>
        </w:rPr>
        <w:t>次贷</w:t>
      </w:r>
      <w:proofErr w:type="gramEnd"/>
      <w:r>
        <w:rPr>
          <w:rFonts w:ascii="Times New Roman" w:hAnsi="Times New Roman" w:hint="eastAsia"/>
        </w:rPr>
        <w:t>危机很大程度上源于一种逆向选择。相对于一般贷款，次级贷款的风险更大，因此要求的利息也更高。对于信用记录良好、拥有足够的抵押品的人，很少会愿意去寻求类似贷款。因此，美国银行大规模地发放</w:t>
      </w:r>
      <w:proofErr w:type="gramStart"/>
      <w:r>
        <w:rPr>
          <w:rFonts w:ascii="Times New Roman" w:hAnsi="Times New Roman" w:hint="eastAsia"/>
        </w:rPr>
        <w:t>次贷</w:t>
      </w:r>
      <w:proofErr w:type="gramEnd"/>
      <w:r>
        <w:rPr>
          <w:rFonts w:ascii="Times New Roman" w:hAnsi="Times New Roman" w:hint="eastAsia"/>
        </w:rPr>
        <w:t>，本身就埋下了很大的违约风险。更为严重的是，在金融创新的推动下，次级贷款被打包成为不同的金融产品流入了市场，这更一部让风险扩展到了全社会。最终，随着房产价值的下跌，风险终于被引发，</w:t>
      </w:r>
      <w:proofErr w:type="gramStart"/>
      <w:r>
        <w:rPr>
          <w:rFonts w:ascii="Times New Roman" w:hAnsi="Times New Roman" w:hint="eastAsia"/>
        </w:rPr>
        <w:t>次贷</w:t>
      </w:r>
      <w:proofErr w:type="gramEnd"/>
      <w:r>
        <w:rPr>
          <w:rFonts w:ascii="Times New Roman" w:hAnsi="Times New Roman" w:hint="eastAsia"/>
        </w:rPr>
        <w:t>危机由此产生。</w:t>
      </w:r>
    </w:p>
    <w:p w:rsidR="007E7255" w:rsidRDefault="007E7255" w:rsidP="007E7255">
      <w:pPr>
        <w:ind w:firstLineChars="200" w:firstLine="42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）在</w:t>
      </w:r>
      <w:proofErr w:type="gramStart"/>
      <w:r>
        <w:rPr>
          <w:rFonts w:ascii="Times New Roman" w:hAnsi="Times New Roman" w:hint="eastAsia"/>
        </w:rPr>
        <w:t>次贷</w:t>
      </w:r>
      <w:proofErr w:type="gramEnd"/>
      <w:r>
        <w:rPr>
          <w:rFonts w:ascii="Times New Roman" w:hAnsi="Times New Roman" w:hint="eastAsia"/>
        </w:rPr>
        <w:t>危机的产生过程中，政府并没有消减风险，反而起到了推波助澜的作用。正是由于政府通过降息、鼓励居民拥有住房等手段，让房价泡沫不断膨胀。这使得银行降低了对房产泡沫破灭、次级贷款违约风险爆发的可能性的预测，因此进一步增加了次级贷款的</w:t>
      </w:r>
      <w:r>
        <w:rPr>
          <w:rFonts w:ascii="Times New Roman" w:hAnsi="Times New Roman" w:hint="eastAsia"/>
        </w:rPr>
        <w:lastRenderedPageBreak/>
        <w:t>发放。从这个角度讲，是政府助推了</w:t>
      </w:r>
      <w:proofErr w:type="gramStart"/>
      <w:r>
        <w:rPr>
          <w:rFonts w:ascii="Times New Roman" w:hAnsi="Times New Roman" w:hint="eastAsia"/>
        </w:rPr>
        <w:t>次贷</w:t>
      </w:r>
      <w:proofErr w:type="gramEnd"/>
      <w:r>
        <w:rPr>
          <w:rFonts w:ascii="Times New Roman" w:hAnsi="Times New Roman" w:hint="eastAsia"/>
        </w:rPr>
        <w:t>危机的出现。</w:t>
      </w:r>
    </w:p>
    <w:p w:rsidR="003A003D" w:rsidRPr="007E7255" w:rsidRDefault="007E7255">
      <w:bookmarkStart w:id="0" w:name="_GoBack"/>
      <w:bookmarkEnd w:id="0"/>
    </w:p>
    <w:sectPr w:rsidR="003A003D" w:rsidRPr="007E72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255"/>
    <w:rsid w:val="00551226"/>
    <w:rsid w:val="007E7255"/>
    <w:rsid w:val="00DD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725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725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ZhangY</dc:creator>
  <cp:lastModifiedBy>ZhangY</cp:lastModifiedBy>
  <cp:revision>1</cp:revision>
  <dcterms:created xsi:type="dcterms:W3CDTF">2017-05-16T07:21:00Z</dcterms:created>
  <dcterms:modified xsi:type="dcterms:W3CDTF">2017-05-16T07:21:00Z</dcterms:modified>
</cp:coreProperties>
</file>