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GoBack"/>
      <w:bookmarkEnd w:id="1"/>
      <w:r>
        <w:rPr>
          <w:rFonts w:ascii="Times New Roman" w:hAnsi="Times New Roman"/>
          <w:b/>
          <w:sz w:val="32"/>
          <w:szCs w:val="32"/>
        </w:rPr>
        <w:t>第４章 威胁与承诺</w:t>
      </w:r>
    </w:p>
    <w:p>
      <w:pPr>
        <w:rPr>
          <w:rFonts w:hint="eastAsia"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hint="eastAsia" w:ascii="Times New Roman" w:hAnsi="Times New Roman"/>
          <w:b/>
        </w:rPr>
        <w:t>参考答案：</w:t>
      </w:r>
    </w:p>
    <w:p>
      <w:pPr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（1）本博弈的策略矩阵形式如下：</w:t>
      </w:r>
    </w:p>
    <w:p>
      <w:pPr>
        <w:rPr>
          <w:rFonts w:hint="eastAsia" w:ascii="Times New Roman" w:hAnsi="Times New Roman"/>
        </w:rPr>
      </w:pPr>
    </w:p>
    <w:tbl>
      <w:tblPr>
        <w:tblStyle w:val="2"/>
        <w:tblW w:w="43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265"/>
        <w:gridCol w:w="8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父亲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惩罚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不惩罚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儿子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淘气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（-1，-1）</w:t>
            </w:r>
          </w:p>
        </w:tc>
        <w:tc>
          <w:tcPr>
            <w:tcW w:w="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（</w:t>
            </w:r>
            <w:r>
              <w:rPr>
                <w:rFonts w:hint="eastAsia" w:ascii="Times New Roman" w:hAnsi="Times New Roman" w:cs="宋体"/>
                <w:kern w:val="0"/>
                <w:szCs w:val="21"/>
                <w:u w:val="single"/>
              </w:rPr>
              <w:t>2</w:t>
            </w:r>
            <w:r>
              <w:rPr>
                <w:rFonts w:hint="eastAsia" w:ascii="Times New Roman" w:hAnsi="Times New Roman" w:cs="宋体"/>
                <w:kern w:val="0"/>
                <w:szCs w:val="21"/>
              </w:rPr>
              <w:t>,</w:t>
            </w:r>
            <w:r>
              <w:rPr>
                <w:rFonts w:hint="eastAsia" w:ascii="Times New Roman" w:hAnsi="Times New Roman" w:cs="宋体"/>
                <w:kern w:val="0"/>
                <w:szCs w:val="21"/>
                <w:u w:val="single"/>
              </w:rPr>
              <w:t>0</w:t>
            </w:r>
            <w:r>
              <w:rPr>
                <w:rFonts w:hint="eastAsia" w:ascii="Times New Roman" w:hAnsi="Times New Roman" w:cs="宋体"/>
                <w:kern w:val="0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不淘气</w:t>
            </w:r>
          </w:p>
        </w:tc>
        <w:tc>
          <w:tcPr>
            <w:tcW w:w="12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（</w:t>
            </w:r>
            <w:r>
              <w:rPr>
                <w:rFonts w:hint="eastAsia" w:ascii="Times New Roman" w:hAnsi="Times New Roman" w:cs="宋体"/>
                <w:kern w:val="0"/>
                <w:szCs w:val="21"/>
                <w:u w:val="single"/>
              </w:rPr>
              <w:t>1</w:t>
            </w:r>
            <w:r>
              <w:rPr>
                <w:rFonts w:hint="eastAsia" w:ascii="Times New Roman" w:hAnsi="Times New Roman" w:cs="宋体"/>
                <w:kern w:val="0"/>
                <w:szCs w:val="21"/>
              </w:rPr>
              <w:t>,</w:t>
            </w:r>
            <w:r>
              <w:rPr>
                <w:rFonts w:hint="eastAsia" w:ascii="Times New Roman" w:hAnsi="Times New Roman" w:cs="宋体"/>
                <w:kern w:val="0"/>
                <w:szCs w:val="21"/>
                <w:u w:val="single"/>
              </w:rPr>
              <w:t>1</w:t>
            </w:r>
            <w:r>
              <w:rPr>
                <w:rFonts w:hint="eastAsia" w:ascii="Times New Roman" w:hAnsi="Times New Roman" w:cs="宋体"/>
                <w:kern w:val="0"/>
                <w:szCs w:val="21"/>
              </w:rPr>
              <w:t>）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cs="宋体"/>
                <w:kern w:val="0"/>
                <w:szCs w:val="21"/>
              </w:rPr>
            </w:pPr>
            <w:r>
              <w:rPr>
                <w:rFonts w:hint="eastAsia" w:ascii="Times New Roman" w:hAnsi="Times New Roman" w:cs="宋体"/>
                <w:kern w:val="0"/>
                <w:szCs w:val="21"/>
              </w:rPr>
              <w:t>（1,</w:t>
            </w:r>
            <w:r>
              <w:rPr>
                <w:rFonts w:hint="eastAsia" w:ascii="Times New Roman" w:hAnsi="Times New Roman" w:cs="宋体"/>
                <w:kern w:val="0"/>
                <w:szCs w:val="21"/>
                <w:u w:val="single"/>
              </w:rPr>
              <w:t>1</w:t>
            </w:r>
            <w:r>
              <w:rPr>
                <w:rFonts w:hint="eastAsia" w:ascii="Times New Roman" w:hAnsi="Times New Roman" w:cs="宋体"/>
                <w:kern w:val="0"/>
                <w:szCs w:val="21"/>
              </w:rPr>
              <w:t>）</w:t>
            </w:r>
          </w:p>
        </w:tc>
      </w:tr>
    </w:tbl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注意，这里儿子和父亲都只有一个决策节点，且在决策节点上各有两个选择，因此最终得到的策略矩阵应该是2</w:t>
      </w:r>
      <w:r>
        <w:rPr>
          <w:rFonts w:ascii="Times New Roman" w:hAnsi="Times New Roman"/>
          <w:position w:val="-4"/>
        </w:rPr>
        <w:object>
          <v:shape id="_x0000_i102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</w:rPr>
        <w:t>2形式的。</w:t>
      </w:r>
    </w:p>
    <w:p>
      <w:pPr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2）这个博弈有2个纯战略纳什均衡（不淘气，惩罚）和（淘气，不惩罚）。子博弈精炼纳什均衡只有一个，就是（淘气，不惩罚），因为它在这个博弈的所有子博弈中都能够成纳什均衡，而另一个均衡在从父亲开始的子博弈中不能构成纳什均衡。显然，父亲的威胁是不可置信的，因为给定孩子淘气的事实，他偏离自己先前给出的威胁对自己会更有利，而一旦孩子预期到了父亲的威胁是不可信的，他就会选择淘气。换言之，正是父亲的慈爱，最终会宠坏了孩子。</w:t>
      </w:r>
    </w:p>
    <w:p>
      <w:pPr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3）“预算软约束”本质上就是父爱性的政府宠坏了国有企业这个孩子的故事。如果一旦国有企业出现亏损，政府就进行托底，那么国有企业就不会有激励改善经营绩效，实现扭亏为盈，这就是国有企业效益长期低下的原因。针对这点，要让国有企业的绩效实现根本的改善，就必须从根本上实现政企分开，让企业切实变成自负盈亏的市场主体。</w:t>
      </w: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ascii="Times New Roman" w:hAnsi="Times New Roman"/>
        </w:rPr>
        <w:t xml:space="preserve">3. </w:t>
      </w:r>
      <w:bookmarkStart w:id="0" w:name="OLE_LINK2"/>
      <w:r>
        <w:rPr>
          <w:rFonts w:hint="eastAsia" w:ascii="Times New Roman" w:hAnsi="Times New Roman"/>
          <w:b/>
        </w:rPr>
        <w:t>参考答案：</w:t>
      </w:r>
    </w:p>
    <w:bookmarkEnd w:id="0"/>
    <w:p>
      <w:pPr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（1）当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给定时，企业家进行投资的期望支付是：</w:t>
      </w:r>
      <w:r>
        <w:rPr>
          <w:rFonts w:ascii="Times New Roman" w:hAnsi="Times New Roman"/>
          <w:position w:val="-10"/>
        </w:rPr>
        <w:object>
          <v:shape id="_x0000_i1026" o:spt="75" type="#_x0000_t75" style="height:15.75pt;width:111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</w:rPr>
        <w:t>。只有当</w:t>
      </w:r>
      <w:r>
        <w:rPr>
          <w:rFonts w:ascii="Times New Roman" w:hAnsi="Times New Roman"/>
          <w:position w:val="-6"/>
        </w:rPr>
        <w:object>
          <v:shape id="_x0000_i1027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10"/>
        </w:rPr>
        <w:object>
          <v:shape id="_x0000_i1028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</w:rPr>
        <w:t>时，企业家才会进行投资。</w:t>
      </w:r>
    </w:p>
    <w:p>
      <w:pPr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（2）显然，当</w:t>
      </w:r>
      <w:r>
        <w:rPr>
          <w:rFonts w:hint="eastAsia" w:ascii="Times New Roman" w:hAnsi="Times New Roman"/>
          <w:i/>
        </w:rPr>
        <w:t>c</w:t>
      </w:r>
      <w:r>
        <w:rPr>
          <w:rFonts w:hint="eastAsia" w:ascii="Times New Roman" w:hAnsi="Times New Roman"/>
        </w:rPr>
        <w:t>更大，也就是掠夺者取得的份额更高时，要求的临界成功率就越大。也就是企业家的对投资的风险耐受程度将更低。</w:t>
      </w:r>
    </w:p>
    <w:p>
      <w:pPr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3）在现实中，政府是一个重要的潜在“掠夺者”。在现实中，很多地方政府都有“关门打狗”，在招商引资成功后对企业狠敲竹杠的行为，这就导致了企业家往往不愿意去这些地方投资。事实上，在制度环境越差，政府掠夺行为越严重的地区，企业家活动也越不活跃，这又反过来造成了这些地区经济的落后。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为了促进企业家的投资积极性，就必须将权力关进制度的笼子，让政府不再能成为掠夺者。同时，要推进市场化，让市场真正发挥在资源配置中的决定性作用，减少政府官员的寻租空间。</w:t>
      </w:r>
    </w:p>
    <w:p>
      <w:pPr>
        <w:rPr>
          <w:rFonts w:ascii="Times New Roman" w:hAnsi="Times New Roman"/>
        </w:rPr>
      </w:pP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hint="eastAsia" w:ascii="Times New Roman" w:hAnsi="Times New Roman"/>
          <w:b/>
        </w:rPr>
        <w:t>参考答案：</w:t>
      </w:r>
    </w:p>
    <w:p>
      <w:pPr>
        <w:ind w:firstLine="420" w:firstLine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正如我们在本章第3题的解答中所说的那样，阻碍地方获得投资、影响地方发展的一个重要原因是地方政府的机会主义行为，也就是在招商引资后，对企业进行敲诈或寻租。在</w:t>
      </w:r>
      <w:r>
        <w:rPr>
          <w:rFonts w:ascii="Times New Roman" w:hAnsi="Times New Roman"/>
        </w:rPr>
        <w:t>“中国式的联邦制度”</w:t>
      </w:r>
      <w:r>
        <w:rPr>
          <w:rFonts w:hint="eastAsia" w:ascii="Times New Roman" w:hAnsi="Times New Roman"/>
        </w:rPr>
        <w:t>下，由于地方财政很大程度上来自于本地企业的税收，而企业家可以在不同的地区之间进行投资、建立企业。各地政府为了获得税源，就必须要尽力吸引投资，这就促使它们尽力保护产权，并为本地企业的发展提供各类有利条件。</w:t>
      </w:r>
      <w:r>
        <w:rPr>
          <w:rFonts w:ascii="Times New Roman" w:hAnsi="Times New Roman"/>
        </w:rPr>
        <w:t>“中国式的联邦制度”</w:t>
      </w:r>
      <w:r>
        <w:rPr>
          <w:rFonts w:hint="eastAsia" w:ascii="Times New Roman" w:hAnsi="Times New Roman"/>
        </w:rPr>
        <w:t>所导致的政府间的竞争，事实上就成为让地方政府保护产权的一种可置信承诺。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34"/>
    <w:rsid w:val="00551226"/>
    <w:rsid w:val="00DD19A7"/>
    <w:rsid w:val="00ED3834"/>
    <w:rsid w:val="740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1015</Characters>
  <Lines>8</Lines>
  <Paragraphs>2</Paragraphs>
  <TotalTime>0</TotalTime>
  <ScaleCrop>false</ScaleCrop>
  <LinksUpToDate>false</LinksUpToDate>
  <CharactersWithSpaces>1190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2017-05-16T07:19:00Z</dcterms:created>
  <dc:creator>ZhangY</dc:creator>
  <cp:lastModifiedBy>降雨晴</cp:lastModifiedBy>
  <dcterms:modified xsi:type="dcterms:W3CDTF">2024-06-15T15:04:43Z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384A7F1010DA4208B323AAFDE0C150F7_13</vt:lpwstr>
  </property>
</Properties>
</file>