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每日币圈新闻报告</w:t>
      </w:r>
    </w:p>
    <w:p>
      <w:pPr>
        <w:jc w:val="center"/>
      </w:pPr>
      <w:r>
        <w:t>报告日期：2026-03-02 10:00 - 2026-03-03 10:00</w:t>
      </w:r>
    </w:p>
    <w:p>
      <w:r>
        <w:t>__________________________________________________</w:t>
      </w:r>
    </w:p>
    <w:p>
      <w:pPr>
        <w:pStyle w:val="Heading1"/>
      </w:pPr>
      <w:r>
        <w:t>一、市场概览</w:t>
      </w:r>
    </w:p>
    <w:p>
      <w:r>
        <w:rPr>
          <w:b/>
        </w:rPr>
        <w:t>1. 全网爆仓数据</w:t>
      </w:r>
    </w:p>
    <w:p>
      <w:pPr>
        <w:pStyle w:val="ListBullet"/>
      </w:pPr>
      <w:r>
        <w:t>据CoinAnk数据显示，过去24小时加密货币市场全网合约爆仓3.5亿美元，其中多单爆仓1.94亿美元，空单爆仓1.56亿美元。BTC爆仓总金额1.6亿美元，ETH爆仓总金额7066.71万美元。</w:t>
      </w:r>
    </w:p>
    <w:p>
      <w:r>
        <w:rPr>
          <w:b/>
        </w:rPr>
        <w:t>2. 币安新交易对上线</w:t>
      </w:r>
    </w:p>
    <w:p>
      <w:pPr>
        <w:pStyle w:val="ListBullet"/>
      </w:pPr>
      <w:r>
        <w:t>币安宣布于2026年3月3日16:00(UTC+8)开放BNB/USD、ETH/USD、SOL/USD现货交易，同时上线这些交易对的Spot Algo Orders交易机器人。</w:t>
      </w:r>
    </w:p>
    <w:p>
      <w:r>
        <w:rPr>
          <w:b/>
        </w:rPr>
        <w:t>3. CME Group扩展加密期货产品线</w:t>
      </w:r>
    </w:p>
    <w:p>
      <w:pPr>
        <w:pStyle w:val="ListBullet"/>
      </w:pPr>
      <w:r>
        <w:t>CME Group上线Cardano(ADA)、Chainlink(LINK)、Stellar(XLM)期货（含大合约与微型、现金结算），与BTC/ETH/SOL/XRP产品合计可覆盖逾75%加密市值。Nasdaq CME Crypto Index期货拟于2026年3月16日推出（待监管批准）。</w:t>
      </w:r>
    </w:p>
    <w:p>
      <w:pPr>
        <w:pStyle w:val="Heading1"/>
      </w:pPr>
      <w:r>
        <w:t>二、监管动态</w:t>
      </w:r>
    </w:p>
    <w:p>
      <w:r>
        <w:rPr>
          <w:b/>
        </w:rPr>
        <w:t>1. 香港稳定币牌照</w:t>
      </w:r>
    </w:p>
    <w:p>
      <w:pPr>
        <w:pStyle w:val="ListBullet"/>
      </w:pPr>
      <w:r>
        <w:t>香港财政司司长陈茂波表示，香港已实施法币稳定币发行人发牌制度，将在3月发出首批牌照。政府将于年内提交数字资产政策条例草案，就数字资产交易及托管等服务提供者订立发牌制度。</w:t>
      </w:r>
    </w:p>
    <w:p>
      <w:r>
        <w:rPr>
          <w:b/>
        </w:rPr>
        <w:t>2. 欧盟银行联盟推欧元稳定币</w:t>
      </w:r>
    </w:p>
    <w:p>
      <w:pPr>
        <w:pStyle w:val="ListBullet"/>
      </w:pPr>
      <w:r>
        <w:t>由ING、UniCredit、BNP Paribas、CaixaBank、BBVA等12家欧盟银行组建的Qivalis正与多家加密交易所、做市商洽谈，计划今年下半年推出符合MiCA监管的欧元锚定稳定币。该稳定币将按1:1由至少40%银行存款及高质量欧元区主权债券作为储备。</w:t>
      </w:r>
    </w:p>
    <w:p>
      <w:r>
        <w:rPr>
          <w:b/>
        </w:rPr>
        <w:t>3. 俄罗斯加密监管法案</w:t>
      </w:r>
    </w:p>
    <w:p>
      <w:pPr>
        <w:pStyle w:val="ListBullet"/>
      </w:pPr>
      <w:r>
        <w:t>俄罗斯央行与财政部起草《数字货币和数字权利法》草案，拟于7月1日生效。草案将便利国家机关获取加密钱包与交易数据，仅持牌交易所可组织加密交易，非合格投资者单笔投资上限或为30万卢布（约3300美元）。</w:t>
      </w:r>
    </w:p>
    <w:p>
      <w:r>
        <w:rPr>
          <w:b/>
        </w:rPr>
        <w:t>4. 越南加密货币交易合法化</w:t>
      </w:r>
    </w:p>
    <w:p>
      <w:pPr>
        <w:pStyle w:val="ListBullet"/>
      </w:pPr>
      <w:r>
        <w:t>越南计划投资部提议自2026年7月1日起，在金融中心（岘港市区域中心、胡志明市国际金融中心）正式实施加密资产和加密货币交易。</w:t>
      </w:r>
    </w:p>
    <w:p>
      <w:pPr>
        <w:pStyle w:val="Heading1"/>
      </w:pPr>
      <w:r>
        <w:t>三、机构动态</w:t>
      </w:r>
    </w:p>
    <w:p>
      <w:r>
        <w:rPr>
          <w:b/>
        </w:rPr>
        <w:t>1. ProCap Financial增持比特币</w:t>
      </w:r>
    </w:p>
    <w:p>
      <w:pPr>
        <w:pStyle w:val="ListBullet"/>
      </w:pPr>
      <w:r>
        <w:t>ProCap Financial（纳斯达克代码：BRR）宣布新增购入450枚Bitcoin，使其持币总量增至5,457枚。过去10天内，公司以明显低于净资产价值（NAV）的价格回购了782,408股普通股。</w:t>
      </w:r>
    </w:p>
    <w:p>
      <w:r>
        <w:rPr>
          <w:b/>
        </w:rPr>
        <w:t>2. Meta计划重启稳定币业务</w:t>
      </w:r>
    </w:p>
    <w:p>
      <w:pPr>
        <w:pStyle w:val="ListBullet"/>
      </w:pPr>
      <w:r>
        <w:t>Meta Platforms计划于今年下半年重新进入稳定币领域，前提是能成功与第三方公司整合。Meta已向第三方公司发出产品征求建议书（RFP），Stripe可能会成为Meta稳定币试点的合作方。</w:t>
      </w:r>
    </w:p>
    <w:p>
      <w:r>
        <w:rPr>
          <w:b/>
        </w:rPr>
        <w:t>3. 21Shares推出SUI ETF</w:t>
      </w:r>
    </w:p>
    <w:p>
      <w:pPr>
        <w:pStyle w:val="ListBullet"/>
      </w:pPr>
      <w:r>
        <w:t>数字资产管理公司21Shares推出21Shares Spot SUI ETF，并已在纳斯达克挂牌交易。此前21Shares已于去年12月推出2X SUI杠杆ETF。</w:t>
      </w:r>
    </w:p>
    <w:p>
      <w:r>
        <w:rPr>
          <w:b/>
        </w:rPr>
        <w:t>4. Coinbase与雅虎财经合作</w:t>
      </w:r>
    </w:p>
    <w:p>
      <w:pPr>
        <w:pStyle w:val="ListBullet"/>
      </w:pPr>
      <w:r>
        <w:t>Coinbase已向所有美国用户开放股票交易功能，并与雅虎财经达成合作，将在后者的股票及加密资产页面添加"在Coinbase交易"按钮。</w:t>
      </w:r>
    </w:p>
    <w:p>
      <w:r>
        <w:rPr>
          <w:b/>
        </w:rPr>
        <w:t>5. Gate Ventures战略投资</w:t>
      </w:r>
    </w:p>
    <w:p>
      <w:pPr>
        <w:pStyle w:val="ListBullet"/>
      </w:pPr>
      <w:r>
        <w:t>Gate.com旗下风投Gate Ventures宣布战略投资比特币原生金融平台Sats Terminal，后者聚焦为BTC持有者提供自托管的交易、借贷与收益服务。</w:t>
      </w:r>
    </w:p>
    <w:p>
      <w:pPr>
        <w:pStyle w:val="Heading1"/>
      </w:pPr>
      <w:r>
        <w:t>四、链上数据</w:t>
      </w:r>
    </w:p>
    <w:p>
      <w:r>
        <w:rPr>
          <w:b/>
        </w:rPr>
        <w:t>1. 爆仓数据分析</w:t>
      </w:r>
    </w:p>
    <w:p>
      <w:pPr>
        <w:pStyle w:val="ListBullet"/>
      </w:pPr>
      <w:r>
        <w:t>过去24小时全网爆仓3.5亿美元，BTC爆仓1.6亿美元，ETH爆仓7066万美元。多单爆仓占主导，显示市场多头情绪受挫。</w:t>
      </w:r>
    </w:p>
    <w:p>
      <w:r>
        <w:rPr>
          <w:b/>
        </w:rPr>
        <w:t>2. Venice Token上涨</w:t>
      </w:r>
    </w:p>
    <w:p>
      <w:pPr>
        <w:pStyle w:val="ListBullet"/>
      </w:pPr>
      <w:r>
        <w:t>Venice AI创始人Erik Voorhees发文称OpenClaw文档显示已将Venice设为推荐模型提供商。行情显示，Venice Token(VVV)过去24小时涨14.3%，过去7天涨70.4%。</w:t>
      </w:r>
    </w:p>
    <w:p>
      <w:pPr>
        <w:pStyle w:val="Heading1"/>
      </w:pPr>
      <w:r>
        <w:t>五、市场分析</w:t>
      </w:r>
    </w:p>
    <w:p>
      <w:r>
        <w:rPr>
          <w:b/>
        </w:rPr>
        <w:t>1. 3月关键事件展望</w:t>
      </w:r>
    </w:p>
    <w:p>
      <w:pPr>
        <w:pStyle w:val="ListBullet"/>
      </w:pPr>
      <w:r>
        <w:t>PANews加密日历显示，3月加密市场关键事件包括：FOMC利率决议及鲍威尔新闻发布会、《Clarity法案》表决、美国2月非农及CPI数据、香港首批稳定币牌照发放、SUI/HYPE等代币大额解锁、Metaplanet股东大会、FTX新一轮资金分配。</w:t>
      </w:r>
    </w:p>
    <w:p>
      <w:r>
        <w:rPr>
          <w:b/>
        </w:rPr>
        <w:t>2. 纳斯达克进军预测市场</w:t>
      </w:r>
    </w:p>
    <w:p>
      <w:pPr>
        <w:pStyle w:val="ListBullet"/>
      </w:pPr>
      <w:r>
        <w:t>纳斯达克公司计划推出允许对主要股票指数进行"是或否"投注的期权合约，将在纳斯达克100指数和纳斯达克100微型指数上上市"二元期权"。</w:t>
      </w:r>
    </w:p>
    <w:p>
      <w:pPr>
        <w:pStyle w:val="Heading1"/>
      </w:pPr>
      <w:r>
        <w:t>六、宏观经济</w:t>
      </w:r>
    </w:p>
    <w:p>
      <w:r>
        <w:rPr>
          <w:b/>
        </w:rPr>
        <w:t>1. 欧洲央行降息预期降温</w:t>
      </w:r>
    </w:p>
    <w:p>
      <w:pPr>
        <w:pStyle w:val="ListBullet"/>
      </w:pPr>
      <w:r>
        <w:t>欧元区货币市场交易员几乎已排除欧洲央行在2026年降息的可能性。交易员们现在认为欧洲央行12月前降息的可能性约为8%，而上周五的预测约为40%。</w:t>
      </w:r>
    </w:p>
    <w:p>
      <w:r>
        <w:rPr>
          <w:b/>
        </w:rPr>
        <w:t>2. 美国财长表态</w:t>
      </w:r>
    </w:p>
    <w:p>
      <w:pPr>
        <w:pStyle w:val="ListBullet"/>
      </w:pPr>
      <w:r>
        <w:t>美国财长贝森特表示，财政部正在终止对Anthropic产品的所有使用，包括其Claude平台。</w:t>
      </w:r>
    </w:p>
    <w:p>
      <w:r>
        <w:rPr>
          <w:b/>
        </w:rPr>
        <w:t>3. 白银价格波动</w:t>
      </w:r>
    </w:p>
    <w:p>
      <w:pPr>
        <w:pStyle w:val="ListBullet"/>
      </w:pPr>
      <w:r>
        <w:t>现货白银向下触及89美元/盎司，日内跌5.25%。</w:t>
      </w:r>
    </w:p>
    <w:p>
      <w:pPr>
        <w:pStyle w:val="Heading1"/>
      </w:pPr>
      <w:r>
        <w:t>七、个人交易笔记</w:t>
      </w:r>
    </w:p>
    <w:p>
      <w:r>
        <w:t>（此处留空供个人记录）</w:t>
      </w:r>
    </w:p>
    <w:p>
      <w:r>
        <w:t>__________________________________________________</w:t>
      </w:r>
    </w:p>
    <w:p>
      <w:pPr>
        <w:jc w:val="center"/>
      </w:pPr>
      <w:r>
        <w:t>报告生成时间：2026-03-03 10:08:23</w:t>
      </w:r>
    </w:p>
    <w:p>
      <w:pPr>
        <w:jc w:val="center"/>
      </w:pPr>
      <w:r>
        <w:t>数据来源：PANews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