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加密货币市场日报"/>
    <w:p>
      <w:pPr>
        <w:pStyle w:val="Heading1"/>
      </w:pPr>
      <w:r>
        <w:t xml:space="preserve">加密货币市场日报</w:t>
      </w:r>
    </w:p>
    <w:p>
      <w:pPr>
        <w:pStyle w:val="FirstParagraph"/>
      </w:pPr>
      <w:r>
        <w:t xml:space="preserve">2025年2月27日-28日 | 数据来源：PANews</w:t>
      </w:r>
    </w:p>
    <w:bookmarkStart w:id="20" w:name="一市场概览"/>
    <w:p>
      <w:pPr>
        <w:pStyle w:val="Heading2"/>
      </w:pPr>
      <w:r>
        <w:t xml:space="preserve">一、市场概览</w:t>
      </w:r>
    </w:p>
    <w:p>
      <w:pPr>
        <w:pStyle w:val="FirstParagraph"/>
      </w:pPr>
      <w:r>
        <w:rPr>
          <w:bCs/>
          <w:b/>
        </w:rPr>
        <w:t xml:space="preserve">美国XRP与SOL现货ETF昨日净流入合计351.15万美元</w:t>
      </w:r>
    </w:p>
    <w:p>
      <w:pPr>
        <w:pStyle w:val="BodyText"/>
      </w:pPr>
      <w:r>
        <w:t xml:space="preserve">PANews 2月28日消息，据SoSoValue数据，美东时间2月27日美国XRP现货ETF净流入220.52万美元，全部来自Franklin XRPZ；同期SOL现货ETF净流入130.63万美元，全部来自Bitwise BSOL。两类ETF最新AUM分别约9.83亿美元与7.53亿美元。</w:t>
      </w:r>
    </w:p>
    <w:p>
      <w:pPr>
        <w:pStyle w:val="BodyText"/>
      </w:pPr>
      <w:r>
        <w:t xml:space="preserve">来源：PANews</w:t>
      </w:r>
    </w:p>
    <w:p>
      <w:pPr>
        <w:pStyle w:val="BodyText"/>
      </w:pPr>
      <w:r>
        <w:rPr>
          <w:bCs/>
          <w:b/>
        </w:rPr>
        <w:t xml:space="preserve">"如何购买比特币"搜索热度接近2021高点</w:t>
      </w:r>
    </w:p>
    <w:p>
      <w:pPr>
        <w:pStyle w:val="BodyText"/>
      </w:pPr>
      <w:r>
        <w:t xml:space="preserve">PANews 2月28日消息，据Cointelegraph报道，数据显示，"How to buy Bitcoin"近5年全球搜索热度近期大幅回升，已接近2021年峰值水平。</w:t>
      </w:r>
    </w:p>
    <w:p>
      <w:pPr>
        <w:pStyle w:val="BodyText"/>
      </w:pPr>
      <w:r>
        <w:t xml:space="preserve">来源：PANews / Cointelegraph</w:t>
      </w:r>
    </w:p>
    <w:p>
      <w:pPr>
        <w:pStyle w:val="BodyText"/>
      </w:pPr>
      <w:r>
        <w:rPr>
          <w:bCs/>
          <w:b/>
        </w:rPr>
        <w:t xml:space="preserve">加密融资交易数回落至2017年水平</w:t>
      </w:r>
    </w:p>
    <w:p>
      <w:pPr>
        <w:pStyle w:val="BodyText"/>
      </w:pPr>
      <w:r>
        <w:t xml:space="preserve">PANews 2月28日消息，据The Block数据，加密VC月度融资交易数(按轮次统计)已降至接近2017年水平，反映近月融资活跃度明显降温。</w:t>
      </w:r>
    </w:p>
    <w:p>
      <w:pPr>
        <w:pStyle w:val="BodyText"/>
      </w:pPr>
      <w:r>
        <w:t xml:space="preserve">来源：PANews / The Block</w:t>
      </w:r>
    </w:p>
    <w:p>
      <w:pPr>
        <w:pStyle w:val="BodyText"/>
      </w:pPr>
      <w:r>
        <w:rPr>
          <w:bCs/>
          <w:b/>
        </w:rPr>
        <w:t xml:space="preserve">分析：比特币面临7万美元关口压制，五个月连跌走势或难在3月终结</w:t>
      </w:r>
    </w:p>
    <w:p>
      <w:pPr>
        <w:pStyle w:val="BodyText"/>
      </w:pPr>
      <w:r>
        <w:t xml:space="preserve">据Cointelegraph报道，比特币正面临连续第五个月的下跌，2月跌幅达14%。目前价格在67,720美元附近波动，受到70,000美元心理关口的阻力压制。比特币在周线图上面临三重阻力集群，包括200周指数移动平均线（EMA）约68,330美元、2021年的历史高点69,000美元以及70,000美元关口。分析师Captain Faibik认为，若周线能收于200周EMA之上，后市有望回升至80,000美元。此外，若能突破18-24个月持有者成本基准线74,500美元，可能标志着熊市的结束。</w:t>
      </w:r>
    </w:p>
    <w:p>
      <w:pPr>
        <w:pStyle w:val="BodyText"/>
      </w:pPr>
      <w:r>
        <w:t xml:space="preserve">来源：PANews / Cointelegraph</w:t>
      </w:r>
    </w:p>
    <w:p>
      <w:pPr>
        <w:pStyle w:val="BodyText"/>
      </w:pPr>
      <w:r>
        <w:rPr>
          <w:bCs/>
          <w:b/>
        </w:rPr>
        <w:t xml:space="preserve">分析：比特币期权交易员押注价格反弹至9万美元，市场正初现筑底信号</w:t>
      </w:r>
    </w:p>
    <w:p>
      <w:pPr>
        <w:pStyle w:val="BodyText"/>
      </w:pPr>
      <w:r>
        <w:t xml:space="preserve">据The Block报道，链上衍生品平台Derive分析显示，比特币期权交易员正构建头寸，押注市场筑底并有望回弹至90,000美元。Derive研究主管Sean Dawson指出，市场在经历数周不确定性后出现稳定迹象。比特币波动率已回落至50%区间，通常与盘整而非恐慌抛售相关。期权情绪指标25-delta偏度已从2月下旬的-15%大幅回升至-7%左右，显示交易员的防御情绪正在减弱。期权资金流向显示，3月27日到期的合约中，80,000美元和90,000美元行权价的看涨期权大量累积，预示交易员预期价格将回升至85,000至95,000美元区间。</w:t>
      </w:r>
    </w:p>
    <w:p>
      <w:pPr>
        <w:pStyle w:val="BodyText"/>
      </w:pPr>
      <w:r>
        <w:t xml:space="preserve">来源：PANews / The Block</w:t>
      </w:r>
    </w:p>
    <w:p>
      <w:pPr>
        <w:pStyle w:val="BodyText"/>
      </w:pPr>
      <w:r>
        <w:rPr>
          <w:bCs/>
          <w:b/>
        </w:rPr>
        <w:t xml:space="preserve">数据：持有超1000枚BTC的地址过去30天内共增持约15.2万枚BTC</w:t>
      </w:r>
    </w:p>
    <w:p>
      <w:pPr>
        <w:pStyle w:val="BodyText"/>
      </w:pPr>
      <w:r>
        <w:t xml:space="preserve">Bitfinex发布报告指出，比特币自2025年10月创下126,000美元历史高点后持续回落，并于2026年2月5日短暂触及60,000美元，跌幅超过50%，为2022年FTX崩盘以来最猛烈的一轮抛售，然而市场表面剧烈震荡时资金暗流却在涌动，数据显示持仓1万枚BTC及以上的"超级巨鲸"们在比特币从90,400美元跌至74,500美元及更低区间持续稳步增持，此外过去30天内持有1,000枚以上比特币的鲸鱼地址累计增持约152,000枚BTC，总持仓升至320万枚，创下2024年以来最高水平。</w:t>
      </w:r>
    </w:p>
    <w:p>
      <w:pPr>
        <w:pStyle w:val="BodyText"/>
      </w:pPr>
      <w:r>
        <w:t xml:space="preserve">来源：PANews / Bitfinex</w:t>
      </w:r>
    </w:p>
    <w:p>
      <w:pPr>
        <w:pStyle w:val="BodyText"/>
      </w:pPr>
      <w:r>
        <w:rPr>
          <w:bCs/>
          <w:b/>
        </w:rPr>
        <w:t xml:space="preserve">Machi再次爆仓，账户余额仅剩约9.1万美元仍杠杆做多ETH</w:t>
      </w:r>
    </w:p>
    <w:p>
      <w:pPr>
        <w:pStyle w:val="BodyText"/>
      </w:pPr>
      <w:r>
        <w:t xml:space="preserve">PANews 2月28日消息，据Lookonchain报道，Machi（@machibigbrother）再次在合约交易中被全仓爆仓，账户余额仅剩约9.1万美元。其后他在Hyperliquid上以约178万美元资金开立925 ETH的25倍做多头寸，强平价约为1866.02美元。</w:t>
      </w:r>
    </w:p>
    <w:p>
      <w:pPr>
        <w:pStyle w:val="BodyText"/>
      </w:pPr>
      <w:r>
        <w:t xml:space="preserve">来源：PANews / Lookonchain</w:t>
      </w:r>
    </w:p>
    <w:bookmarkEnd w:id="20"/>
    <w:bookmarkStart w:id="21" w:name="二监管动态"/>
    <w:p>
      <w:pPr>
        <w:pStyle w:val="Heading2"/>
      </w:pPr>
      <w:r>
        <w:t xml:space="preserve">二、监管动态</w:t>
      </w:r>
    </w:p>
    <w:p>
      <w:pPr>
        <w:pStyle w:val="FirstParagraph"/>
      </w:pPr>
      <w:r>
        <w:rPr>
          <w:bCs/>
          <w:b/>
        </w:rPr>
        <w:t xml:space="preserve">SEC主席称上届错失良机，现正加速推进加密监管与代币化试点</w:t>
      </w:r>
    </w:p>
    <w:p>
      <w:pPr>
        <w:pStyle w:val="BodyText"/>
      </w:pPr>
      <w:r>
        <w:t xml:space="preserve">PANews 2月28日消息，据The Block报道，现任SEC主席Paul Atkins在德州大学活动上批评前主席Gary Gensler任内"未尝试适应创新"，称美国在加密领域"错失重大机遇"，现正试图追回进度。Atkins表示，自特朗普政府以来，SEC已转向更友好的行业态度，设立加密专项小组、撤销多起针对大型机构的执法案件，并启动"Project Crypto"以更新规则。他强调分布式账本技术在支付清算与结算方面的潜力，并透露SEC已批准WisdomTree的7×24小时结算代币化货币市场基金，后续还将推动代币化银行存款。</w:t>
      </w:r>
    </w:p>
    <w:p>
      <w:pPr>
        <w:pStyle w:val="BodyText"/>
      </w:pPr>
      <w:r>
        <w:t xml:space="preserve">来源：PANews / The Block</w:t>
      </w:r>
    </w:p>
    <w:p>
      <w:pPr>
        <w:pStyle w:val="BodyText"/>
      </w:pPr>
      <w:r>
        <w:rPr>
          <w:bCs/>
          <w:b/>
        </w:rPr>
        <w:t xml:space="preserve">Sacks称加密行业在稳定币收益上已让步，敦促银行"回报"推动立法</w:t>
      </w:r>
    </w:p>
    <w:p>
      <w:pPr>
        <w:pStyle w:val="BodyText"/>
      </w:pPr>
      <w:r>
        <w:t xml:space="preserve">PANews 2月28日消息，白宫加密与AI事务负责人David Sacks在X发文称，顾问Patrick Witt正积极协调银行与加密行业达成妥协、推进市场结构立法；他表示加密行业在"稳定币收益/付息"问题上已作出重大让步，接下来应由银行方面作出相应让步。</w:t>
      </w:r>
    </w:p>
    <w:p>
      <w:pPr>
        <w:pStyle w:val="BodyText"/>
      </w:pPr>
      <w:r>
        <w:t xml:space="preserve">来源：PANews</w:t>
      </w:r>
    </w:p>
    <w:p>
      <w:pPr>
        <w:pStyle w:val="BodyText"/>
      </w:pPr>
      <w:r>
        <w:rPr>
          <w:bCs/>
          <w:b/>
        </w:rPr>
        <w:t xml:space="preserve">美国参议员敦促调查Binance反洗钱与制裁合规</w:t>
      </w:r>
    </w:p>
    <w:p>
      <w:pPr>
        <w:pStyle w:val="BodyText"/>
      </w:pPr>
      <w:r>
        <w:t xml:space="preserve">九名美国联邦参议院民主党议员致信美国财政部长Scott Bessent和司法部长Pam Bondi，要求就Binance在制裁合规和反洗钱方面的控制措施展开调查。议员称媒体近期披露Binance相关交易可能为恐怖组织和规避制裁主体提供资金，且部分负责发现相关交易的合规人员被解雇。签署人包括Elizabeth Warren、Mark Warner等多名参与《数字资产市场清晰法案》（Digital Asset Market Clarity Act）谈判的议员，并要求两部门评估Binance是否遵守其2023年与美方达成和解中的合规义务。</w:t>
      </w:r>
    </w:p>
    <w:p>
      <w:pPr>
        <w:pStyle w:val="BodyText"/>
      </w:pPr>
      <w:r>
        <w:t xml:space="preserve">来源：PANews</w:t>
      </w:r>
    </w:p>
    <w:p>
      <w:pPr>
        <w:pStyle w:val="BodyText"/>
      </w:pPr>
      <w:r>
        <w:rPr>
          <w:bCs/>
          <w:b/>
        </w:rPr>
        <w:t xml:space="preserve">提醒：白宫已设定3月1日为解决稳定币奖励争议和推进《Clarity法案》的最后期限</w:t>
      </w:r>
    </w:p>
    <w:p>
      <w:pPr>
        <w:pStyle w:val="BodyText"/>
      </w:pPr>
      <w:r>
        <w:t xml:space="preserve">据Cointelegraph提醒，白宫已设定3月1日为解决稳定币奖励争议和推进《Clarity法案》的最后期限。</w:t>
      </w:r>
    </w:p>
    <w:p>
      <w:pPr>
        <w:pStyle w:val="BodyText"/>
      </w:pPr>
      <w:r>
        <w:t xml:space="preserve">来源：PANews / Cointelegraph</w:t>
      </w:r>
    </w:p>
    <w:bookmarkEnd w:id="21"/>
    <w:bookmarkStart w:id="22" w:name="三机构动态"/>
    <w:p>
      <w:pPr>
        <w:pStyle w:val="Heading2"/>
      </w:pPr>
      <w:r>
        <w:t xml:space="preserve">三、机构动态</w:t>
      </w:r>
    </w:p>
    <w:p>
      <w:pPr>
        <w:pStyle w:val="FirstParagraph"/>
      </w:pPr>
      <w:r>
        <w:rPr>
          <w:bCs/>
          <w:b/>
        </w:rPr>
        <w:t xml:space="preserve">贝莱德9小时前从Coinbase提现4082枚BTC，过去3天共提取约7.17亿美元BTC</w:t>
      </w:r>
    </w:p>
    <w:p>
      <w:pPr>
        <w:pStyle w:val="BodyText"/>
      </w:pPr>
      <w:r>
        <w:t xml:space="preserve">据Onchain Lens报道，BlackRock（贝莱德）过去3天内共自Coinbase提走10,749枚BTC，按当前价格折合约7.17亿美元，其中仅在9小时前一次性提现4,082枚BTC，价值约2.69亿美元。</w:t>
      </w:r>
    </w:p>
    <w:p>
      <w:pPr>
        <w:pStyle w:val="BodyText"/>
      </w:pPr>
      <w:r>
        <w:t xml:space="preserve">来源：PANews / Onchain Lens</w:t>
      </w:r>
    </w:p>
    <w:p>
      <w:pPr>
        <w:pStyle w:val="BodyText"/>
      </w:pPr>
      <w:r>
        <w:rPr>
          <w:bCs/>
          <w:b/>
        </w:rPr>
        <w:t xml:space="preserve">摩根士丹利申请美国全国性信托银行牌照布局加密托管与质押业务</w:t>
      </w:r>
    </w:p>
    <w:p>
      <w:pPr>
        <w:pStyle w:val="BodyText"/>
      </w:pPr>
      <w:r>
        <w:t xml:space="preserve">据彭博社报道，Morgan Stanley（摩根士丹利）已向美国货币监理署（OCC）提交申请，拟设立一家全新的全国性信托银行，用于托管数字资产，并为投资客户提供加密资产交易和质押（staking）服务。新实体总部将设在纽约州Purchase，但业务覆盖全美。</w:t>
      </w:r>
    </w:p>
    <w:p>
      <w:pPr>
        <w:pStyle w:val="BodyText"/>
      </w:pPr>
      <w:r>
        <w:t xml:space="preserve">来源：PANews / 彭博社</w:t>
      </w:r>
    </w:p>
    <w:p>
      <w:pPr>
        <w:pStyle w:val="BodyText"/>
      </w:pPr>
      <w:r>
        <w:rPr>
          <w:bCs/>
          <w:b/>
        </w:rPr>
        <w:t xml:space="preserve">Block披露其Q4增持340枚比特币，价值2200万美元</w:t>
      </w:r>
    </w:p>
    <w:p>
      <w:pPr>
        <w:pStyle w:val="BodyText"/>
      </w:pPr>
      <w:r>
        <w:t xml:space="preserve">据The Bitcoin Historian报道，Jack Dorsey旗下支付公司Block,Inc.刚刚披露，其在2025年第四季度又增持了340枚比特币，价值2200万美元。</w:t>
      </w:r>
    </w:p>
    <w:p>
      <w:pPr>
        <w:pStyle w:val="BodyText"/>
      </w:pPr>
      <w:r>
        <w:t xml:space="preserve">来源：PANews / The Bitcoin Historian</w:t>
      </w:r>
    </w:p>
    <w:p>
      <w:pPr>
        <w:pStyle w:val="BodyText"/>
      </w:pPr>
      <w:r>
        <w:rPr>
          <w:bCs/>
          <w:b/>
        </w:rPr>
        <w:t xml:space="preserve">花旗银行拟于今年晚些时候推出机构级比特币托管服务</w:t>
      </w:r>
    </w:p>
    <w:p>
      <w:pPr>
        <w:pStyle w:val="BodyText"/>
      </w:pPr>
      <w:r>
        <w:t xml:space="preserve">据Crowdfund Insider报道，花旗集团宣布计划于2026年晚些时候推出面向机构客户的比特币托管解决方案，将比特币直接嵌入其核心银行运营。新平台将把传统税务报告、监管合规和风险管理流程扩展到比特币持仓，使投资者可在统一系统内像管理股票或债券一样管理比特币头寸。该平台支持7x24小时运营、Swift全球转账和API连接，针对养老金基金和保险公司等机构参与者设计。该行将构建自身技术栈，包括花旗综合数字资产平台，首先推出核心托管功能，逐步扩展到增强资产隔离和抵押管理的高级服务。</w:t>
      </w:r>
    </w:p>
    <w:p>
      <w:pPr>
        <w:pStyle w:val="BodyText"/>
      </w:pPr>
      <w:r>
        <w:t xml:space="preserve">来源：PANews / Crowdfund Insider</w:t>
      </w:r>
    </w:p>
    <w:p>
      <w:pPr>
        <w:pStyle w:val="BodyText"/>
      </w:pPr>
      <w:r>
        <w:rPr>
          <w:bCs/>
          <w:b/>
        </w:rPr>
        <w:t xml:space="preserve">巴克莱银行考虑采用区块链平台进行支付和存款</w:t>
      </w:r>
    </w:p>
    <w:p>
      <w:pPr>
        <w:pStyle w:val="BodyText"/>
      </w:pPr>
      <w:r>
        <w:t xml:space="preserve">据彭博社报道，巴克莱银行正计划建立一个区块链平台，用于处理支付和存款等银行服务。该行已向潜在技术供应商发送信息请求（RFI），评估包括稳定币和代币化存款在内的应用场景。消息人士透露，巴克莱预计最快将于今年4月选定合作伙伴。</w:t>
      </w:r>
    </w:p>
    <w:p>
      <w:pPr>
        <w:pStyle w:val="BodyText"/>
      </w:pPr>
      <w:r>
        <w:t xml:space="preserve">来源：PANews / 彭博社</w:t>
      </w:r>
    </w:p>
    <w:p>
      <w:pPr>
        <w:pStyle w:val="BodyText"/>
      </w:pPr>
      <w:r>
        <w:rPr>
          <w:bCs/>
          <w:b/>
        </w:rPr>
        <w:t xml:space="preserve">Tether二级市场估值可能高达3750亿美元，最大股东身家或超越巴菲特</w:t>
      </w:r>
    </w:p>
    <w:p>
      <w:pPr>
        <w:pStyle w:val="BodyText"/>
      </w:pPr>
      <w:r>
        <w:t xml:space="preserve">据《福布斯》报道，二级市场交易显示，稳定币发行商Tether的估值可能高达3750亿美元，这将使其所有者跻身全球最富有的行列。行业消息人士称，Tether在二级市场的交易价格区间为3500亿至3750亿美元。基于与加密货币投资者和高管的交流，《福布斯》目前对Tether的估值约为2000亿美元，仍远高于一年前的500亿美元估值。</w:t>
      </w:r>
    </w:p>
    <w:p>
      <w:pPr>
        <w:pStyle w:val="BodyText"/>
      </w:pPr>
      <w:r>
        <w:t xml:space="preserve">来源：PANews / 福布斯</w:t>
      </w:r>
    </w:p>
    <w:bookmarkEnd w:id="22"/>
    <w:bookmarkStart w:id="23" w:name="四项目动态"/>
    <w:p>
      <w:pPr>
        <w:pStyle w:val="Heading2"/>
      </w:pPr>
      <w:r>
        <w:t xml:space="preserve">四、项目动态</w:t>
      </w:r>
    </w:p>
    <w:p>
      <w:pPr>
        <w:pStyle w:val="FirstParagraph"/>
      </w:pPr>
      <w:r>
        <w:rPr>
          <w:bCs/>
          <w:b/>
        </w:rPr>
        <w:t xml:space="preserve">日元稳定币发行方JPYC完成约1200万美元B轮融资，Asteria领投</w:t>
      </w:r>
    </w:p>
    <w:p>
      <w:pPr>
        <w:pStyle w:val="BodyText"/>
      </w:pPr>
      <w:r>
        <w:t xml:space="preserve">据Ledger Insights报道，日本日元稳定币发行方JPYC完成B轮首期融资，募资约17.8亿日元（约1200万美元），由日本IT解决方案提供商Asteria领投，大部分资金来自日本本土企业与基金机构，BitFlyer Holdings亦参与。JPYC于2025年10月在日本资金移转业务监管框架下上线，是目前唯一在岸日元稳定币。</w:t>
      </w:r>
    </w:p>
    <w:p>
      <w:pPr>
        <w:pStyle w:val="BodyText"/>
      </w:pPr>
      <w:r>
        <w:t xml:space="preserve">来源：PANews / Ledger Insights</w:t>
      </w:r>
    </w:p>
    <w:p>
      <w:pPr>
        <w:pStyle w:val="BodyText"/>
      </w:pPr>
      <w:r>
        <w:rPr>
          <w:bCs/>
          <w:b/>
        </w:rPr>
        <w:t xml:space="preserve">Progmat将日本最大证券型代币平台迁移至Avalanche L1</w:t>
      </w:r>
    </w:p>
    <w:p>
      <w:pPr>
        <w:pStyle w:val="BodyText"/>
      </w:pPr>
      <w:r>
        <w:t xml:space="preserve">MUFG孵化的日本证券型代币平台Progmat宣布与Ava Labs达成合作，计划在2026年6月底前将目前基于Corda企业版账本的系统迁移至Avalanche L1区块链。同时，其现有互操作合作方Datachain将继续支持在非Avalanche链上发行证券型代币，并提供基于多种稳定币的交割付款（DvP）及支付对支付（PvP）结算。</w:t>
      </w:r>
    </w:p>
    <w:p>
      <w:pPr>
        <w:pStyle w:val="BodyText"/>
      </w:pPr>
      <w:r>
        <w:t xml:space="preserve">来源：PANews</w:t>
      </w:r>
    </w:p>
    <w:p>
      <w:pPr>
        <w:pStyle w:val="BodyText"/>
      </w:pPr>
      <w:r>
        <w:rPr>
          <w:bCs/>
          <w:b/>
        </w:rPr>
        <w:t xml:space="preserve">Karpelès提议比特币硬分叉追回Mt.Gox 2011被盗近8万BTC</w:t>
      </w:r>
    </w:p>
    <w:p>
      <w:pPr>
        <w:pStyle w:val="BodyText"/>
      </w:pPr>
      <w:r>
        <w:t xml:space="preserve">前Mt.Gox CEO Mark Karpelès提出对比特币进行一次性硬分叉：新增共识规则允许用"Mt.Gox恢复地址"签名花费2011黑客地址1Feex…sb6uF中约79,956BTC(约52亿美元)，以返还债权人。他承认需协调全网升级且可能引发分叉争议。</w:t>
      </w:r>
    </w:p>
    <w:p>
      <w:pPr>
        <w:pStyle w:val="BodyText"/>
      </w:pPr>
      <w:r>
        <w:t xml:space="preserve">来源：PANews</w:t>
      </w:r>
    </w:p>
    <w:p>
      <w:pPr>
        <w:pStyle w:val="BodyText"/>
      </w:pPr>
      <w:r>
        <w:rPr>
          <w:bCs/>
          <w:b/>
        </w:rPr>
        <w:t xml:space="preserve">Vitalik发文阐述以太坊扩容的短期和长期计划</w:t>
      </w:r>
    </w:p>
    <w:p>
      <w:pPr>
        <w:pStyle w:val="BodyText"/>
      </w:pPr>
      <w:r>
        <w:t xml:space="preserve">以太坊联合创始人Vitalik Buterin在社交媒体上发文阐述以太坊扩容的短期和长期计划。短期扩容方面，即将到来的Glamsterdam升级将引入区块级访问列表以实现并行验证，以及ePBS功能。同时引入多维Gas机制，新增"状态创建Gas"维度，不计入约1600万的交易Gas上限，允许创建更大合约。EVM将维护两个不变量，通过"储备池"机制处理多维Gas消耗。长期来看将转向多维定价模型。长期扩容包括ZK-EVM和Blobs两部分。Blobs方面将继续迭代PeerDAS，目标达到约8 MB/秒的数据处理能力，未来以太坊区块数据将直接进入Blobs。</w:t>
      </w:r>
    </w:p>
    <w:p>
      <w:pPr>
        <w:pStyle w:val="BodyText"/>
      </w:pPr>
      <w:r>
        <w:t xml:space="preserve">来源：PANews</w:t>
      </w:r>
    </w:p>
    <w:p>
      <w:pPr>
        <w:pStyle w:val="BodyText"/>
      </w:pPr>
      <w:r>
        <w:rPr>
          <w:bCs/>
          <w:b/>
        </w:rPr>
        <w:t xml:space="preserve">ZKsync计划于5月4日关闭ZKsync Lite并将重心转向Era生态</w:t>
      </w:r>
    </w:p>
    <w:p>
      <w:pPr>
        <w:pStyle w:val="BodyText"/>
      </w:pPr>
      <w:r>
        <w:t xml:space="preserve">据The Block报道，ZKsync宣布将于2026年5月4日完全停止ZKsync Lite（原ZKsync 1.0）的运行。届时该网络将停止出块并永久冻结最终状态，以确保其余额在关闭后不被更改。ZKsync Lite于2020年6月推出，主要支持代币转账和NFT铸造，但不具备智能合约功能。随着具备zkEVM功能的ZKsync Era及ZK Stack生态的成熟，该项目决定集中资源发展后续系统。官方建议用户在5月4日前提取资产，关闭后将提供至少为期一年的只读API以供数据访问，未提取的资金届时仍可申领。</w:t>
      </w:r>
    </w:p>
    <w:p>
      <w:pPr>
        <w:pStyle w:val="BodyText"/>
      </w:pPr>
      <w:r>
        <w:t xml:space="preserve">来源：PANews / The Block</w:t>
      </w:r>
    </w:p>
    <w:p>
      <w:pPr>
        <w:pStyle w:val="BodyText"/>
      </w:pPr>
      <w:r>
        <w:rPr>
          <w:bCs/>
          <w:b/>
        </w:rPr>
        <w:t xml:space="preserve">以太坊基金会宣布启动Project Odin构建可持续项目支持资金体系</w:t>
      </w:r>
    </w:p>
    <w:p>
      <w:pPr>
        <w:pStyle w:val="BodyText"/>
      </w:pPr>
      <w:r>
        <w:t xml:space="preserve">以太坊基金会宣布启动Project Odin，旨在通过结构化支持机制，帮助关键基础设施团队建立多元化、可持续的资金来源，降低对单一资助渠道的依赖。Project Odin由生态参与者发起，定位为一项为期12个月的结构化支持计划。其核心机制是为入选团队配备嵌入式战略顾问，从早期即介入可持续规划，覆盖资金路径研究、商业模式验证、合作拓展及执行落地，帮助团队建立至少一条可重复的"类收入型"资金来源，如支持合约、服务协议或培训合作等，据悉该计划首批试点团队为Foundation for Verified Software。</w:t>
      </w:r>
    </w:p>
    <w:p>
      <w:pPr>
        <w:pStyle w:val="BodyText"/>
      </w:pPr>
      <w:r>
        <w:t xml:space="preserve">来源：PANews</w:t>
      </w:r>
    </w:p>
    <w:p>
      <w:pPr>
        <w:pStyle w:val="BodyText"/>
      </w:pPr>
      <w:r>
        <w:rPr>
          <w:bCs/>
          <w:b/>
        </w:rPr>
        <w:t xml:space="preserve">PayPal、MoonPay与M0联合推出PYUSDx，支持应用创建自有稳定币</w:t>
      </w:r>
    </w:p>
    <w:p>
      <w:pPr>
        <w:pStyle w:val="BodyText"/>
      </w:pPr>
      <w:r>
        <w:t xml:space="preserve">据Cointelegraph报道，支付巨头PayPal联合MoonPay及稳定币平台M0联合推出PYUSDx，旨在帮助开发者创建由PayPal USD（PYUSD）支持的、锚定美元的稳定币，用于特定应用程序、平台或生态系统内部。该产品计划于下月正式上线。PYUSDx是一项代币化与发行框架，由MoonPay Digital Assets提供，独立于原生PYUSD。开发者可利用该框架快速推出品牌定制、支持跨链且具备储备透明度的稳定币，而无需从零构建货币基础设施。目前，DeFi协议USD.ai已成为首个在该平台上构建AI基础设施专用稳定币的开发者。</w:t>
      </w:r>
    </w:p>
    <w:p>
      <w:pPr>
        <w:pStyle w:val="BodyText"/>
      </w:pPr>
      <w:r>
        <w:t xml:space="preserve">来源：PANews / Cointelegraph</w:t>
      </w:r>
    </w:p>
    <w:p>
      <w:pPr>
        <w:pStyle w:val="BodyText"/>
      </w:pPr>
      <w:r>
        <w:rPr>
          <w:bCs/>
          <w:b/>
        </w:rPr>
        <w:t xml:space="preserve">Grvt发布2026年路线图：完整代币经济模型将于3月公布</w:t>
      </w:r>
    </w:p>
    <w:p>
      <w:pPr>
        <w:pStyle w:val="BodyText"/>
      </w:pPr>
      <w:r>
        <w:t xml:space="preserve">混合型加密交易所Grvt发布2026年路线图，计划构建一个围绕单一可编程余额的统一系统，让同一笔存款能够同时赚取收益、作为保证金并保持现货敞口。路线图规划了收益层、投资层、交易层和支付层四大核心，由统一保证金系统支撑。Grvt将通过ZKsync Atlas扩展与Layer 1协议连接，从3月开始整合Aave等DeFi流动性源。平台计划推出基于智能合约的原生主经纪商借贷市场。交易方面将扩展至全球股票、外汇和商品的永续合约，现货市场将分阶段推出。支付层将推出P2P支付及出入金服务。GRVT代币完整经济模型将于3月公布，包含分配明细、归属时间表和分配机制。</w:t>
      </w:r>
    </w:p>
    <w:p>
      <w:pPr>
        <w:pStyle w:val="BodyText"/>
      </w:pPr>
      <w:r>
        <w:t xml:space="preserve">来源：PANews</w:t>
      </w:r>
    </w:p>
    <w:bookmarkEnd w:id="23"/>
    <w:bookmarkStart w:id="24" w:name="五ai与加密交叉"/>
    <w:p>
      <w:pPr>
        <w:pStyle w:val="Heading2"/>
      </w:pPr>
      <w:r>
        <w:t xml:space="preserve">五、AI与加密交叉</w:t>
      </w:r>
    </w:p>
    <w:p>
      <w:pPr>
        <w:pStyle w:val="FirstParagraph"/>
      </w:pPr>
      <w:r>
        <w:rPr>
          <w:bCs/>
          <w:b/>
        </w:rPr>
        <w:t xml:space="preserve">OpenAI开除涉预测市场"内幕交易"员工</w:t>
      </w:r>
    </w:p>
    <w:p>
      <w:pPr>
        <w:pStyle w:val="BodyText"/>
      </w:pPr>
      <w:r>
        <w:t xml:space="preserve">PANews 2月28日消息，据WIRED报道，OpenAI近日解雇一名员工，原因是其在Polymarket、Kalshi等预测市场平台上基于内部信息进行交易。报道称，该员工利用在OpenAI的工作身份获取的非公开信息下注相关合约，涉嫌构成"内幕交易"并违反公司合规政策。</w:t>
      </w:r>
    </w:p>
    <w:p>
      <w:pPr>
        <w:pStyle w:val="BodyText"/>
      </w:pPr>
      <w:r>
        <w:t xml:space="preserve">来源：PANews / WIRED</w:t>
      </w:r>
    </w:p>
    <w:p>
      <w:pPr>
        <w:pStyle w:val="BodyText"/>
      </w:pPr>
      <w:r>
        <w:rPr>
          <w:bCs/>
          <w:b/>
        </w:rPr>
        <w:t xml:space="preserve">OpenAI据悉拟再募资100亿美元，估值或达8500亿美元</w:t>
      </w:r>
    </w:p>
    <w:p>
      <w:pPr>
        <w:pStyle w:val="BodyText"/>
      </w:pPr>
      <w:r>
        <w:t xml:space="preserve">PANews 2月28日消息，据The Information报道，OpenAI在从亚马逊、英伟达和软银等获得最高1100亿美元融资承诺后，预计在2026年3月底前再向金融投资者追加融资约100亿美元，交易可能使其估值升至约8500亿美元(条款仍可能变动)。</w:t>
      </w:r>
    </w:p>
    <w:p>
      <w:pPr>
        <w:pStyle w:val="BodyText"/>
      </w:pPr>
      <w:r>
        <w:t xml:space="preserve">来源：PANews / The Information</w:t>
      </w:r>
    </w:p>
    <w:p>
      <w:pPr>
        <w:pStyle w:val="BodyText"/>
      </w:pPr>
      <w:r>
        <w:rPr>
          <w:bCs/>
          <w:b/>
        </w:rPr>
        <w:t xml:space="preserve">OpenAI宣布以7300亿美元的估值获得1100亿美元的新投资</w:t>
      </w:r>
    </w:p>
    <w:p>
      <w:pPr>
        <w:pStyle w:val="BodyText"/>
      </w:pPr>
      <w:r>
        <w:t xml:space="preserve">据金十报道，OpenAI宣布，以7300亿美元的估值完成创纪录的1100亿美元融资。亚马逊公司表示，其已为此次融资轮投入500亿美元。OpenAI宣布，软银集团和英伟达公司各自投入了300亿美元。</w:t>
      </w:r>
    </w:p>
    <w:p>
      <w:pPr>
        <w:pStyle w:val="BodyText"/>
      </w:pPr>
      <w:r>
        <w:t xml:space="preserve">来源：PANews / 金十</w:t>
      </w:r>
    </w:p>
    <w:p>
      <w:pPr>
        <w:pStyle w:val="BodyText"/>
      </w:pPr>
      <w:r>
        <w:rPr>
          <w:bCs/>
          <w:b/>
        </w:rPr>
        <w:t xml:space="preserve">OpenAI高管：ChatGPT日活用户已突破9亿，付费订阅用户达5000万</w:t>
      </w:r>
    </w:p>
    <w:p>
      <w:pPr>
        <w:pStyle w:val="BodyText"/>
      </w:pPr>
      <w:r>
        <w:t xml:space="preserve">OpenAI高管Nick Turley：ChatGPT日活用户已突破9亿，付费订阅用户达5000万。</w:t>
      </w:r>
    </w:p>
    <w:p>
      <w:pPr>
        <w:pStyle w:val="BodyText"/>
      </w:pPr>
      <w:r>
        <w:t xml:space="preserve">来源：PANews</w:t>
      </w:r>
    </w:p>
    <w:p>
      <w:pPr>
        <w:pStyle w:val="BodyText"/>
      </w:pPr>
      <w:r>
        <w:rPr>
          <w:bCs/>
          <w:b/>
        </w:rPr>
        <w:t xml:space="preserve">Anthropic称将起诉挑战"五角大楼供应链风险"认定</w:t>
      </w:r>
    </w:p>
    <w:p>
      <w:pPr>
        <w:pStyle w:val="BodyText"/>
      </w:pPr>
      <w:r>
        <w:t xml:space="preserve">PANews 2月28日消息，Anthropic表示已善意与美国国防部谈判且两项安全例外迄今未影响任何政府任务；若被认定为"供应链风险"将诉诸法庭，称该认定缺乏法律依据并会开危险先例，并称尚未收到白宫或国防部关于谈判进展的直接通知。</w:t>
      </w:r>
    </w:p>
    <w:p>
      <w:pPr>
        <w:pStyle w:val="BodyText"/>
      </w:pPr>
      <w:r>
        <w:t xml:space="preserve">来源：PANews</w:t>
      </w:r>
    </w:p>
    <w:p>
      <w:pPr>
        <w:pStyle w:val="BodyText"/>
      </w:pPr>
      <w:r>
        <w:rPr>
          <w:bCs/>
          <w:b/>
        </w:rPr>
        <w:t xml:space="preserve">超200名Google、OpenAI员工联名敦促限制军事AI用途</w:t>
      </w:r>
    </w:p>
    <w:p>
      <w:pPr>
        <w:pStyle w:val="BodyText"/>
      </w:pPr>
      <w:r>
        <w:t xml:space="preserve">PANews 2月28日消息，据Axios报道，超过200名来自Google和OpenAI的员工签署联名公开信，呼吁两家公司效仿Anthropic，承诺不将其先进AI技术用于美国国内监控或完全自主武器。公开信称，五角大楼正与Google和OpenAI协商，希望获得Anthropic已拒绝的使用权限，并试图通过挑拨各家公司立场制造分化。联名信要求两家公司管理层搁置分歧，在对政府军事与监控用途划定"红线"方面形成统一立场，目前签名可匿名且需经过验证。</w:t>
      </w:r>
    </w:p>
    <w:p>
      <w:pPr>
        <w:pStyle w:val="BodyText"/>
      </w:pPr>
      <w:r>
        <w:t xml:space="preserve">来源：PANews / Axios</w:t>
      </w:r>
    </w:p>
    <w:p>
      <w:pPr>
        <w:pStyle w:val="BodyText"/>
      </w:pPr>
      <w:r>
        <w:rPr>
          <w:bCs/>
          <w:b/>
        </w:rPr>
        <w:t xml:space="preserve">xAI联创Toby Pohlen离职，三年内12位创始成员已有7人出走</w:t>
      </w:r>
    </w:p>
    <w:p>
      <w:pPr>
        <w:pStyle w:val="BodyText"/>
      </w:pPr>
      <w:r>
        <w:t xml:space="preserve">据彭博社消息，马斯克旗下人工智能公司xAI联合创始人Toby Pohlen今日宣布离职。他在社交平台X上表示："今天是我在xAI的最后一天"，并调侃团队"没有人比你们更能熬夜"，称接下来打算"先睡个超过8小时的觉"。这是近三个月内第4位公开离职的xAI联合创始人。自2023年公司成立以来，12位创始成员中已有7人确认离开，包括前Google科学家Tony Wu、多伦多大学教授Jimmy Ba、Groq创始成员Greg Yang等。</w:t>
      </w:r>
    </w:p>
    <w:p>
      <w:pPr>
        <w:pStyle w:val="BodyText"/>
      </w:pPr>
      <w:r>
        <w:t xml:space="preserve">来源：PANews / 彭博社</w:t>
      </w:r>
    </w:p>
    <w:p>
      <w:pPr>
        <w:pStyle w:val="BodyText"/>
      </w:pPr>
      <w:r>
        <w:rPr>
          <w:bCs/>
          <w:b/>
        </w:rPr>
        <w:t xml:space="preserve">OpenAI创始人：将在合适时机考虑上市</w:t>
      </w:r>
    </w:p>
    <w:p>
      <w:pPr>
        <w:pStyle w:val="BodyText"/>
      </w:pPr>
      <w:r>
        <w:t xml:space="preserve">据金十报道，OpenAI创始人奥尔特曼表示，将在合适时机考虑上市。</w:t>
      </w:r>
    </w:p>
    <w:p>
      <w:pPr>
        <w:pStyle w:val="BodyText"/>
      </w:pPr>
      <w:r>
        <w:t xml:space="preserve">来源：PANews / 金十</w:t>
      </w:r>
    </w:p>
    <w:bookmarkEnd w:id="24"/>
    <w:bookmarkStart w:id="25" w:name="六其他要闻"/>
    <w:p>
      <w:pPr>
        <w:pStyle w:val="Heading2"/>
      </w:pPr>
      <w:r>
        <w:t xml:space="preserve">六、其他要闻</w:t>
      </w:r>
    </w:p>
    <w:p>
      <w:pPr>
        <w:pStyle w:val="FirstParagraph"/>
      </w:pPr>
      <w:r>
        <w:rPr>
          <w:bCs/>
          <w:b/>
        </w:rPr>
        <w:t xml:space="preserve">SpaceX据悉最快3月秘密递交IPO申请，估值或超1.75万亿美元</w:t>
      </w:r>
    </w:p>
    <w:p>
      <w:pPr>
        <w:pStyle w:val="BodyText"/>
      </w:pPr>
      <w:r>
        <w:t xml:space="preserve">据彭博社报道，消息人士称SpaceX计划最快于2026年3月向美国SEC进行保密递表，或为6月上市铺路；IPO估值可能超过1.75万亿美元、募资规模或达500亿美元，细节仍可能调整。</w:t>
      </w:r>
    </w:p>
    <w:p>
      <w:pPr>
        <w:pStyle w:val="BodyText"/>
      </w:pPr>
      <w:r>
        <w:t xml:space="preserve">来源：PANews / 彭博社</w:t>
      </w:r>
    </w:p>
    <w:p>
      <w:pPr>
        <w:pStyle w:val="BodyText"/>
      </w:pPr>
      <w:r>
        <w:rPr>
          <w:bCs/>
          <w:b/>
        </w:rPr>
        <w:t xml:space="preserve">哥伦比亚特区诈骗中心特别工作组查获和冻结的加密资产达5.8亿美元</w:t>
      </w:r>
    </w:p>
    <w:p>
      <w:pPr>
        <w:pStyle w:val="BodyText"/>
      </w:pPr>
      <w:r>
        <w:t xml:space="preserve">据Decrypt报道，美国哥伦比亚特区联邦检察官办公室宣布，诈骗中心特别工作组从东南亚犯罪网络中冻结和扣押的加密货币已超过5.8亿美元。检察官Jeanine Pirro表示，该工作组在冻结、扣押和没收来自缅甸、柬埔寨和老挝等国诈骗网络的加密资产方面取得了"重大进展"，并称将通过法律程序尽可能将这些资金返还给受害者。诈骗中心特别工作组成立于2025年11月，由美国司法部、联邦调查局、特勤局、财政部等多个政府机构协调运作，目标是打击通过"杀猪盘"诈骗牟利的跨国犯罪网络。此类诈骗利用社会工程学诱导受害者购买加密货币，然后通过虚假投资域名和应用转移资金。</w:t>
      </w:r>
    </w:p>
    <w:p>
      <w:pPr>
        <w:pStyle w:val="BodyText"/>
      </w:pPr>
      <w:r>
        <w:t xml:space="preserve">来源：PANews / Decrypt</w:t>
      </w:r>
    </w:p>
    <w:p>
      <w:pPr>
        <w:pStyle w:val="BodyText"/>
      </w:pPr>
      <w:r>
        <w:rPr>
          <w:bCs/>
          <w:b/>
        </w:rPr>
        <w:t xml:space="preserve">Paradigm拟为新基金募资最高15亿美元，并扩展至AI/机器人等领域</w:t>
      </w:r>
    </w:p>
    <w:p>
      <w:pPr>
        <w:pStyle w:val="BodyText"/>
      </w:pPr>
      <w:r>
        <w:t xml:space="preserve">据《华尔街日报》报道，加密风投Paradigm正寻求为下一只基金募资最高约15亿美元，投资范围将从加密扩展到AI、机器人等"前沿科技"，同时仍将继续布局加密赛道。</w:t>
      </w:r>
    </w:p>
    <w:p>
      <w:pPr>
        <w:pStyle w:val="BodyText"/>
      </w:pPr>
      <w:r>
        <w:t xml:space="preserve">来源：PANews / 华尔街日报</w:t>
      </w:r>
    </w:p>
    <w:p>
      <w:pPr>
        <w:pStyle w:val="BodyText"/>
      </w:pPr>
      <w:r>
        <w:rPr>
          <w:bCs/>
          <w:b/>
        </w:rPr>
        <w:t xml:space="preserve">韩国国税厅新闻稿不慎曝光助记词，约480万美元扣押加密货币遭窃</w:t>
      </w:r>
    </w:p>
    <w:p>
      <w:pPr>
        <w:pStyle w:val="BodyText"/>
      </w:pPr>
      <w:r>
        <w:t xml:space="preserve">据韩国《亚洲经济》报道，韩国国税厅在2月26日发布的关于对124名高额、惯常拖欠税款者进行现场搜查的新闻资料中，公开了含有所扣押加密硬件钱包Ledger助记词的现场照片，且未做任何马赛克处理。区块链数据专家Jaewoo Cho表示，在助记词泄露后不久，该钱包中存放的400万枚PRTG代币于27日凌晨被全部转至身份不明的钱包，估计损失约达64亿韩元（约合480万美元）。分析显示，窃取者先将用作手续费的少量以太坊存入该钱包，随后分三次转走了全部代币。</w:t>
      </w:r>
    </w:p>
    <w:p>
      <w:pPr>
        <w:pStyle w:val="BodyText"/>
      </w:pPr>
      <w:r>
        <w:t xml:space="preserve">来源：PANews / 亚洲经济</w:t>
      </w:r>
    </w:p>
    <w:p>
      <w:pPr>
        <w:pStyle w:val="BodyText"/>
      </w:pPr>
      <w:r>
        <w:rPr>
          <w:bCs/>
          <w:b/>
        </w:rPr>
        <w:t xml:space="preserve">"麻吉"屡败屡战后的第162次滚仓做多，本轮ETH多仓清算价约1938美元</w:t>
      </w:r>
    </w:p>
    <w:p>
      <w:pPr>
        <w:pStyle w:val="BodyText"/>
      </w:pPr>
      <w:r>
        <w:t xml:space="preserve">据Coinbob监测，"麻吉"黄立成在经历上轮爆仓后，再次开启新一轮ETH做多操作。该地址于近日存入约25万美元资金建立ETH多单，随后通过不断滚仓，在三日内将持仓规模逐步放大至1350万美元。目前其持有25倍杠杆ETH多单，持仓均价1945美元，浮盈约43万美元（80%），清算价约1938美元，据清算约2.42%。回溯该地址近期的交易，其常以数十万美元资金建仓，通过滚仓方式不断推高持仓规模与均价。然而，多次尝试均因均价过高、行情回调而遭清算。清算后，该地址又会再度存入资金，以同样方式重新开始下一轮做多，或意在一博大级别反弹或牛市启动。</w:t>
      </w:r>
    </w:p>
    <w:p>
      <w:pPr>
        <w:pStyle w:val="BodyText"/>
      </w:pPr>
      <w:r>
        <w:t xml:space="preserve">来源：PANews / Coinbob</w:t>
      </w:r>
    </w:p>
    <w:bookmarkEnd w:id="25"/>
    <w:bookmarkStart w:id="26" w:name="七市场数据速览"/>
    <w:p>
      <w:pPr>
        <w:pStyle w:val="Heading2"/>
      </w:pPr>
      <w:r>
        <w:t xml:space="preserve">七、市场数据速览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left"/>
            </w:pPr>
            <w:r>
              <w:t xml:space="preserve">数据</w:t>
            </w:r>
          </w:p>
        </w:tc>
      </w:tr>
      <w:tr>
        <w:tc>
          <w:tcPr/>
          <w:p>
            <w:pPr>
              <w:pStyle w:val="Compact"/>
              <w:jc w:val="left"/>
            </w:pPr>
            <w:r>
              <w:t xml:space="preserve">XRP ETF净流入</w:t>
            </w:r>
          </w:p>
        </w:tc>
        <w:tc>
          <w:tcPr/>
          <w:p>
            <w:pPr>
              <w:pStyle w:val="Compact"/>
              <w:jc w:val="left"/>
            </w:pPr>
            <w:r>
              <w:t xml:space="preserve">220.52万美元</w:t>
            </w:r>
          </w:p>
        </w:tc>
      </w:tr>
      <w:tr>
        <w:tc>
          <w:tcPr/>
          <w:p>
            <w:pPr>
              <w:pStyle w:val="Compact"/>
              <w:jc w:val="left"/>
            </w:pPr>
            <w:r>
              <w:t xml:space="preserve">SOL ETF净流入</w:t>
            </w:r>
          </w:p>
        </w:tc>
        <w:tc>
          <w:tcPr/>
          <w:p>
            <w:pPr>
              <w:pStyle w:val="Compact"/>
              <w:jc w:val="left"/>
            </w:pPr>
            <w:r>
              <w:t xml:space="preserve">130.63万美元</w:t>
            </w:r>
          </w:p>
        </w:tc>
      </w:tr>
      <w:tr>
        <w:tc>
          <w:tcPr/>
          <w:p>
            <w:pPr>
              <w:pStyle w:val="Compact"/>
              <w:jc w:val="left"/>
            </w:pPr>
            <w:r>
              <w:t xml:space="preserve">BTC 2月跌幅</w:t>
            </w:r>
          </w:p>
        </w:tc>
        <w:tc>
          <w:tcPr/>
          <w:p>
            <w:pPr>
              <w:pStyle w:val="Compact"/>
              <w:jc w:val="left"/>
            </w:pPr>
            <w:r>
              <w:t xml:space="preserve">14%</w:t>
            </w:r>
          </w:p>
        </w:tc>
      </w:tr>
      <w:tr>
        <w:tc>
          <w:tcPr/>
          <w:p>
            <w:pPr>
              <w:pStyle w:val="Compact"/>
              <w:jc w:val="left"/>
            </w:pPr>
            <w:r>
              <w:t xml:space="preserve">鲸鱼地址30天增持</w:t>
            </w:r>
          </w:p>
        </w:tc>
        <w:tc>
          <w:tcPr/>
          <w:p>
            <w:pPr>
              <w:pStyle w:val="Compact"/>
              <w:jc w:val="left"/>
            </w:pPr>
            <w:r>
              <w:t xml:space="preserve">约15.2万枚BTC</w:t>
            </w:r>
          </w:p>
        </w:tc>
      </w:tr>
      <w:tr>
        <w:tc>
          <w:tcPr/>
          <w:p>
            <w:pPr>
              <w:pStyle w:val="Compact"/>
              <w:jc w:val="left"/>
            </w:pPr>
            <w:r>
              <w:t xml:space="preserve">贝莱德3天提币</w:t>
            </w:r>
          </w:p>
        </w:tc>
        <w:tc>
          <w:tcPr/>
          <w:p>
            <w:pPr>
              <w:pStyle w:val="Compact"/>
              <w:jc w:val="left"/>
            </w:pPr>
            <w:r>
              <w:t xml:space="preserve">10,749 BTC (约7.17亿美元)</w:t>
            </w:r>
          </w:p>
        </w:tc>
      </w:tr>
      <w:tr>
        <w:tc>
          <w:tcPr/>
          <w:p>
            <w:pPr>
              <w:pStyle w:val="Compact"/>
              <w:jc w:val="left"/>
            </w:pPr>
            <w:r>
              <w:t xml:space="preserve">ChatGPT日活用户</w:t>
            </w:r>
          </w:p>
        </w:tc>
        <w:tc>
          <w:tcPr/>
          <w:p>
            <w:pPr>
              <w:pStyle w:val="Compact"/>
              <w:jc w:val="left"/>
            </w:pPr>
            <w:r>
              <w:t xml:space="preserve">突破9亿</w:t>
            </w:r>
          </w:p>
        </w:tc>
      </w:tr>
      <w:tr>
        <w:tc>
          <w:tcPr/>
          <w:p>
            <w:pPr>
              <w:pStyle w:val="Compact"/>
              <w:jc w:val="left"/>
            </w:pPr>
            <w:r>
              <w:t xml:space="preserve">ChatGPT付费订阅</w:t>
            </w:r>
          </w:p>
        </w:tc>
        <w:tc>
          <w:tcPr/>
          <w:p>
            <w:pPr>
              <w:pStyle w:val="Compact"/>
              <w:jc w:val="left"/>
            </w:pPr>
            <w:r>
              <w:t xml:space="preserve">5000万</w:t>
            </w:r>
          </w:p>
        </w:tc>
      </w:tr>
      <w:tr>
        <w:tc>
          <w:tcPr/>
          <w:p>
            <w:pPr>
              <w:pStyle w:val="Compact"/>
              <w:jc w:val="left"/>
            </w:pPr>
            <w:r>
              <w:t xml:space="preserve">OpenAI最新估值</w:t>
            </w:r>
          </w:p>
        </w:tc>
        <w:tc>
          <w:tcPr/>
          <w:p>
            <w:pPr>
              <w:pStyle w:val="Compact"/>
              <w:jc w:val="left"/>
            </w:pPr>
            <w:r>
              <w:t xml:space="preserve">7300亿-8500亿美元</w:t>
            </w:r>
          </w:p>
        </w:tc>
      </w:tr>
      <w:tr>
        <w:tc>
          <w:tcPr/>
          <w:p>
            <w:pPr>
              <w:pStyle w:val="Compact"/>
              <w:jc w:val="left"/>
            </w:pPr>
            <w:r>
              <w:t xml:space="preserve">SpaceX预计IPO估值</w:t>
            </w:r>
          </w:p>
        </w:tc>
        <w:tc>
          <w:tcPr/>
          <w:p>
            <w:pPr>
              <w:pStyle w:val="Compact"/>
              <w:jc w:val="left"/>
            </w:pPr>
            <w:r>
              <w:t xml:space="preserve">超1.75万亿美元</w:t>
            </w:r>
          </w:p>
        </w:tc>
      </w:tr>
    </w:tbl>
    <w:p>
      <w:pPr>
        <w:pStyle w:val="BodyText"/>
      </w:pPr>
      <w:r>
        <w:t xml:space="preserve">报告生成时间：2025年2月28日</w:t>
      </w:r>
    </w:p>
    <w:p>
      <w:pPr>
        <w:pStyle w:val="BodyText"/>
      </w:pPr>
      <w:r>
        <w:t xml:space="preserve">数据来源：PANews | 本报告仅供参考，不构成投资建议</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2026-02-28T02:46:31Z</dcterms:created>
  <dcterms:modified xsi:type="dcterms:W3CDTF">2026-02-28T02:46:31Z</dcterms:modified>
</cp:coreProperties>
</file>

<file path=docProps/custom.xml><?xml version="1.0" encoding="utf-8"?>
<Properties xmlns="http://schemas.openxmlformats.org/officeDocument/2006/custom-properties" xmlns:vt="http://schemas.openxmlformats.org/officeDocument/2006/docPropsVTypes"/>
</file>