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加密货币市场日报"/>
    <w:p>
      <w:pPr>
        <w:pStyle w:val="Heading1"/>
      </w:pPr>
      <w:r>
        <w:t xml:space="preserve">加密货币市场日报</w:t>
      </w:r>
    </w:p>
    <w:p>
      <w:pPr>
        <w:pStyle w:val="FirstParagraph"/>
      </w:pPr>
      <w:r>
        <w:t xml:space="preserve">2025年2月27日-28日 | 数据来源：PANews</w:t>
      </w:r>
    </w:p>
    <w:bookmarkStart w:id="20" w:name="一市场概览"/>
    <w:p>
      <w:pPr>
        <w:pStyle w:val="Heading2"/>
      </w:pPr>
      <w:r>
        <w:t xml:space="preserve">一、市场概览</w:t>
      </w:r>
    </w:p>
    <w:p>
      <w:pPr>
        <w:pStyle w:val="FirstParagraph"/>
      </w:pPr>
      <w:r>
        <w:rPr>
          <w:bCs/>
          <w:b/>
        </w:rPr>
        <w:t xml:space="preserve">美国XRP与SOL现货ETF昨日净流入合计351.15万美元</w:t>
      </w:r>
    </w:p>
    <w:p>
      <w:pPr>
        <w:pStyle w:val="BodyText"/>
      </w:pPr>
      <w:r>
        <w:t xml:space="preserve">PANews 2月28日消息，据SoSoValue数据，美东时间2月27日美国XRP现货ETF净流入220.52万美元，全部来自Franklin XRPZ；同期SOL现货ETF净流入130.63万美元，全部来自Bitwise BSOL。两类ETF最新AUM分别约9.83亿美元与7.53亿美元。</w:t>
      </w:r>
    </w:p>
    <w:p>
      <w:pPr>
        <w:pStyle w:val="BodyText"/>
      </w:pPr>
      <w:r>
        <w:t xml:space="preserve">来源：PANews</w:t>
      </w:r>
    </w:p>
    <w:p>
      <w:pPr>
        <w:pStyle w:val="BodyText"/>
      </w:pPr>
      <w:r>
        <w:rPr>
          <w:bCs/>
          <w:b/>
        </w:rPr>
        <w:t xml:space="preserve">"如何购买比特币"搜索热度接近2021高点</w:t>
      </w:r>
    </w:p>
    <w:p>
      <w:pPr>
        <w:pStyle w:val="BodyText"/>
      </w:pPr>
      <w:r>
        <w:t xml:space="preserve">PANews 2月28日消息，据Cointelegraph报道，数据显示，"How to buy Bitcoin"近5年全球搜索热度近期大幅回升，已接近2021年峰值水平。</w:t>
      </w:r>
    </w:p>
    <w:p>
      <w:pPr>
        <w:pStyle w:val="BodyText"/>
      </w:pPr>
      <w:r>
        <w:t xml:space="preserve">来源：PANews / Cointelegraph</w:t>
      </w:r>
    </w:p>
    <w:p>
      <w:pPr>
        <w:pStyle w:val="BodyText"/>
      </w:pPr>
      <w:r>
        <w:rPr>
          <w:bCs/>
          <w:b/>
        </w:rPr>
        <w:t xml:space="preserve">加密融资交易数回落至2017年水平</w:t>
      </w:r>
    </w:p>
    <w:p>
      <w:pPr>
        <w:pStyle w:val="BodyText"/>
      </w:pPr>
      <w:r>
        <w:t xml:space="preserve">加密VC月度融资交易数(按轮次统计)已降至接近2017年水平，反映近月融资活跃度明显降温。</w:t>
      </w:r>
    </w:p>
    <w:p>
      <w:pPr>
        <w:pStyle w:val="BodyText"/>
      </w:pPr>
      <w:r>
        <w:t xml:space="preserve">来源：PANews</w:t>
      </w:r>
    </w:p>
    <w:p>
      <w:pPr>
        <w:pStyle w:val="BodyText"/>
      </w:pPr>
      <w:r>
        <w:rPr>
          <w:bCs/>
          <w:b/>
        </w:rPr>
        <w:t xml:space="preserve">分析：比特币面临7万美元关口压制</w:t>
      </w:r>
    </w:p>
    <w:p>
      <w:pPr>
        <w:pStyle w:val="BodyText"/>
      </w:pPr>
      <w:r>
        <w:t xml:space="preserve">据Cointelegraph报道，比特币正面临连续第五个月的下跌，2月跌幅达14%。目前价格在67,720美元附近波动，受到70,000美元心理关口的阻力压制。比特币在周线图上面临三重阻力集群，包括200周指数移动平均线（EMA）约68,330美元、2021年的历史高点69,000美元以及70,000美元关口。</w:t>
      </w:r>
    </w:p>
    <w:p>
      <w:pPr>
        <w:pStyle w:val="BodyText"/>
      </w:pPr>
      <w:r>
        <w:t xml:space="preserve">来源：PANews / Cointelegraph</w:t>
      </w:r>
    </w:p>
    <w:p>
      <w:pPr>
        <w:pStyle w:val="BodyText"/>
      </w:pPr>
      <w:r>
        <w:rPr>
          <w:bCs/>
          <w:b/>
        </w:rPr>
        <w:t xml:space="preserve">分析：比特币期权交易员押注价格反弹至9万美元</w:t>
      </w:r>
    </w:p>
    <w:p>
      <w:pPr>
        <w:pStyle w:val="BodyText"/>
      </w:pPr>
      <w:r>
        <w:t xml:space="preserve">据The Block报道，链上衍生品平台Derive分析显示，比特币期权交易员正构建头寸，押注市场筑底并有望回弹至90,000美元。比特币波动率已回落至50%区间，期权情绪指标25-delta偏度已从2月下旬的-15%大幅回升至-7%左右。</w:t>
      </w:r>
    </w:p>
    <w:p>
      <w:pPr>
        <w:pStyle w:val="BodyText"/>
      </w:pPr>
      <w:r>
        <w:t xml:space="preserve">来源：PANews / The Block</w:t>
      </w:r>
    </w:p>
    <w:p>
      <w:pPr>
        <w:pStyle w:val="BodyText"/>
      </w:pPr>
      <w:r>
        <w:rPr>
          <w:bCs/>
          <w:b/>
        </w:rPr>
        <w:t xml:space="preserve">数据：持有超1000枚BTC的地址过去30天内共增持约15.2万枚BTC</w:t>
      </w:r>
    </w:p>
    <w:p>
      <w:pPr>
        <w:pStyle w:val="BodyText"/>
      </w:pPr>
      <w:r>
        <w:t xml:space="preserve">Bitfinex发布报告指出，过去30天内持有1,000枚以上比特币的鲸鱼地址累计增持约152,000枚BTC，总持仓升至320万枚，创下2024年以来最高水平。</w:t>
      </w:r>
    </w:p>
    <w:p>
      <w:pPr>
        <w:pStyle w:val="BodyText"/>
      </w:pPr>
      <w:r>
        <w:t xml:space="preserve">来源：PANews / Bitfinex</w:t>
      </w:r>
    </w:p>
    <w:p>
      <w:pPr>
        <w:pStyle w:val="BodyText"/>
      </w:pPr>
      <w:r>
        <w:rPr>
          <w:bCs/>
          <w:b/>
        </w:rPr>
        <w:t xml:space="preserve">Machi再次爆仓</w:t>
      </w:r>
    </w:p>
    <w:p>
      <w:pPr>
        <w:pStyle w:val="BodyText"/>
      </w:pPr>
      <w:r>
        <w:t xml:space="preserve">PANews 2月28日消息，据Lookonchain报道，Machi（@machibigbrother）再次在合约交易中被全仓爆仓，账户余额仅剩约9.1万美元。其后他在Hyperliquid上以约178万美元资金开立925 ETH的25倍做多头寸。</w:t>
      </w:r>
    </w:p>
    <w:p>
      <w:pPr>
        <w:pStyle w:val="BodyText"/>
      </w:pPr>
      <w:r>
        <w:t xml:space="preserve">来源：PANews / Lookonchain</w:t>
      </w:r>
    </w:p>
    <w:bookmarkEnd w:id="20"/>
    <w:bookmarkStart w:id="21" w:name="二监管动态"/>
    <w:p>
      <w:pPr>
        <w:pStyle w:val="Heading2"/>
      </w:pPr>
      <w:r>
        <w:t xml:space="preserve">二、监管动态</w:t>
      </w:r>
    </w:p>
    <w:p>
      <w:pPr>
        <w:pStyle w:val="FirstParagraph"/>
      </w:pPr>
      <w:r>
        <w:rPr>
          <w:bCs/>
          <w:b/>
        </w:rPr>
        <w:t xml:space="preserve">SEC主席称上届错失良机，现正加速推进加密监管</w:t>
      </w:r>
    </w:p>
    <w:p>
      <w:pPr>
        <w:pStyle w:val="BodyText"/>
      </w:pPr>
      <w:r>
        <w:t xml:space="preserve">PANews 2月28日消息，据The Block报道，现任SEC主席Paul Atkins在德州大学活动上批评前主席Gary Gensler任内"未尝试适应创新"，称美国在加密领域"错失重大机遇"。Atkins表示，SEC已转向更友好的行业态度，设立加密专项小组、撤销多起执法案件，并启动"Project Crypto"。他强调分布式账本技术在支付清算与结算方面的潜力，并透露SEC已批准WisdomTree的7×24小时结算代币化货币市场基金。</w:t>
      </w:r>
    </w:p>
    <w:p>
      <w:pPr>
        <w:pStyle w:val="BodyText"/>
      </w:pPr>
      <w:r>
        <w:t xml:space="preserve">来源：PANews / The Block</w:t>
      </w:r>
    </w:p>
    <w:p>
      <w:pPr>
        <w:pStyle w:val="BodyText"/>
      </w:pPr>
      <w:r>
        <w:rPr>
          <w:bCs/>
          <w:b/>
        </w:rPr>
        <w:t xml:space="preserve">白宫与银行业就稳定币收益谈判仍在推进</w:t>
      </w:r>
    </w:p>
    <w:p>
      <w:pPr>
        <w:pStyle w:val="BodyText"/>
      </w:pPr>
      <w:r>
        <w:t xml:space="preserve">PANews 2月28日消息，记者Eleanor Terrett发推称，白宫就稳定币收益安排与银行业和加密行业的谈判仍在进行中。多家银行业游说组织代表表示，对将谈判形容为"虚无主义"感到困惑。银行方认为双方仍在就法案文案反复提供意见，未必将3月1日视为"生死线"，谈判并未破裂。</w:t>
      </w:r>
    </w:p>
    <w:p>
      <w:pPr>
        <w:pStyle w:val="BodyText"/>
      </w:pPr>
      <w:r>
        <w:t xml:space="preserve">来源：PANews</w:t>
      </w:r>
    </w:p>
    <w:p>
      <w:pPr>
        <w:pStyle w:val="BodyText"/>
      </w:pPr>
      <w:r>
        <w:rPr>
          <w:bCs/>
          <w:b/>
        </w:rPr>
        <w:t xml:space="preserve">美国参议员敦促调查Binance反洗钱与制裁合规</w:t>
      </w:r>
    </w:p>
    <w:p>
      <w:pPr>
        <w:pStyle w:val="BodyText"/>
      </w:pPr>
      <w:r>
        <w:t xml:space="preserve">九名美国联邦参议院民主党议员致信美国财政部长Scott Bessent和司法部长Pam Bondi，要求就Binance在制裁合规和反洗钱方面的控制措施展开调查。议员称媒体近期披露Binance相关交易可能为恐怖组织和规避制裁主体提供资金。</w:t>
      </w:r>
    </w:p>
    <w:p>
      <w:pPr>
        <w:pStyle w:val="BodyText"/>
      </w:pPr>
      <w:r>
        <w:t xml:space="preserve">来源：PANews</w:t>
      </w:r>
    </w:p>
    <w:p>
      <w:pPr>
        <w:pStyle w:val="BodyText"/>
      </w:pPr>
      <w:r>
        <w:rPr>
          <w:bCs/>
          <w:b/>
        </w:rPr>
        <w:t xml:space="preserve">波兰MiCA法规僵局</w:t>
      </w:r>
    </w:p>
    <w:p>
      <w:pPr>
        <w:pStyle w:val="BodyText"/>
      </w:pPr>
      <w:r>
        <w:t xml:space="preserve">PANews 2月28日消息，据彭博社报道，波兰线上券商XTB表示，当地围绕欧盟《加密资产市场监管条例》（MiCA）的政治僵局正拖累其加密业务布局。波兰总统Karol Nawrocki已两次否决相关立法，XTB正考虑赴塞浦路斯申请加密牌照作为备选方案。</w:t>
      </w:r>
    </w:p>
    <w:p>
      <w:pPr>
        <w:pStyle w:val="BodyText"/>
      </w:pPr>
      <w:r>
        <w:t xml:space="preserve">来源：PANews / 彭博社</w:t>
      </w:r>
    </w:p>
    <w:bookmarkEnd w:id="21"/>
    <w:bookmarkStart w:id="22" w:name="三机构动态"/>
    <w:p>
      <w:pPr>
        <w:pStyle w:val="Heading2"/>
      </w:pPr>
      <w:r>
        <w:t xml:space="preserve">三、机构动态</w:t>
      </w:r>
    </w:p>
    <w:p>
      <w:pPr>
        <w:pStyle w:val="FirstParagraph"/>
      </w:pPr>
      <w:r>
        <w:rPr>
          <w:bCs/>
          <w:b/>
        </w:rPr>
        <w:t xml:space="preserve">贝莱德9小时前从Coinbase提现4082枚BTC</w:t>
      </w:r>
    </w:p>
    <w:p>
      <w:pPr>
        <w:pStyle w:val="BodyText"/>
      </w:pPr>
      <w:r>
        <w:t xml:space="preserve">PANews 2月28日消息，据Onchain Lens报道，BlackRock（贝莱德）过去3天内共自Coinbase提走10,749枚BTC，按当前价格折合约7.17亿美元，其中仅在9小时前一次性提现4,082枚BTC，价值约2.69亿美元。</w:t>
      </w:r>
    </w:p>
    <w:p>
      <w:pPr>
        <w:pStyle w:val="BodyText"/>
      </w:pPr>
      <w:r>
        <w:t xml:space="preserve">来源：PANews / Onchain Lens</w:t>
      </w:r>
    </w:p>
    <w:p>
      <w:pPr>
        <w:pStyle w:val="BodyText"/>
      </w:pPr>
      <w:r>
        <w:rPr>
          <w:bCs/>
          <w:b/>
        </w:rPr>
        <w:t xml:space="preserve">摩根士丹利申请美国全国性信托银行牌照</w:t>
      </w:r>
    </w:p>
    <w:p>
      <w:pPr>
        <w:pStyle w:val="BodyText"/>
      </w:pPr>
      <w:r>
        <w:t xml:space="preserve">据彭博社报道，Morgan Stanley（摩根士丹利）已向美国货币监理署（OCC）提交申请，拟设立一家全新的全国性信托银行，用于托管数字资产，并为投资客户提供加密资产交易和质押（staking）服务。新实体总部将设在纽约州Purchase，但业务覆盖全美。</w:t>
      </w:r>
    </w:p>
    <w:p>
      <w:pPr>
        <w:pStyle w:val="BodyText"/>
      </w:pPr>
      <w:r>
        <w:t xml:space="preserve">来源：PANews / 彭博社</w:t>
      </w:r>
    </w:p>
    <w:p>
      <w:pPr>
        <w:pStyle w:val="BodyText"/>
      </w:pPr>
      <w:r>
        <w:rPr>
          <w:bCs/>
          <w:b/>
        </w:rPr>
        <w:t xml:space="preserve">Block披露其Q4增持340枚比特币</w:t>
      </w:r>
    </w:p>
    <w:p>
      <w:pPr>
        <w:pStyle w:val="BodyText"/>
      </w:pPr>
      <w:r>
        <w:t xml:space="preserve">据The Bitcoin Historian报道，Jack Dorsey旗下支付公司Block,Inc.刚刚披露，其在2025年第四季度又增持了340枚比特币，价值2200万美元。</w:t>
      </w:r>
    </w:p>
    <w:p>
      <w:pPr>
        <w:pStyle w:val="BodyText"/>
      </w:pPr>
      <w:r>
        <w:t xml:space="preserve">来源：PANews / The Bitcoin Historian</w:t>
      </w:r>
    </w:p>
    <w:p>
      <w:pPr>
        <w:pStyle w:val="BodyText"/>
      </w:pPr>
      <w:r>
        <w:rPr>
          <w:bCs/>
          <w:b/>
        </w:rPr>
        <w:t xml:space="preserve">SoFi支持Solana网络存款</w:t>
      </w:r>
    </w:p>
    <w:p>
      <w:pPr>
        <w:pStyle w:val="BodyText"/>
      </w:pPr>
      <w:r>
        <w:t xml:space="preserve">PANews 2月28日消息，持有美国全国银行牌照的金融科技公司SoFi宣布，其应用现已支持Solana（SOL）网络存款，用户可在SoFi App内买入、卖出并托管SOL。</w:t>
      </w:r>
    </w:p>
    <w:p>
      <w:pPr>
        <w:pStyle w:val="BodyText"/>
      </w:pPr>
      <w:r>
        <w:t xml:space="preserve">来源：PANews</w:t>
      </w:r>
    </w:p>
    <w:p>
      <w:pPr>
        <w:pStyle w:val="BodyText"/>
      </w:pPr>
      <w:r>
        <w:rPr>
          <w:bCs/>
          <w:b/>
        </w:rPr>
        <w:t xml:space="preserve">巨鲸通过Galaxy OTC买入逾600万美元HYPE</w:t>
      </w:r>
    </w:p>
    <w:p>
      <w:pPr>
        <w:pStyle w:val="BodyText"/>
      </w:pPr>
      <w:r>
        <w:t xml:space="preserve">PANews 2月28日消息，据Onchain Lens报道，一地址通过Galaxy Digital场外交易买入215,056枚HYPE，金额约606万美元。该地址在过去18天内累计买入并持有540,337枚HYPE，当前持仓市值约1,486万美元。</w:t>
      </w:r>
    </w:p>
    <w:p>
      <w:pPr>
        <w:pStyle w:val="BodyText"/>
      </w:pPr>
      <w:r>
        <w:t xml:space="preserve">来源：PANews / Onchain Lens</w:t>
      </w:r>
    </w:p>
    <w:bookmarkEnd w:id="22"/>
    <w:bookmarkStart w:id="23" w:name="四项目动态"/>
    <w:p>
      <w:pPr>
        <w:pStyle w:val="Heading2"/>
      </w:pPr>
      <w:r>
        <w:t xml:space="preserve">四、项目动态</w:t>
      </w:r>
    </w:p>
    <w:p>
      <w:pPr>
        <w:pStyle w:val="FirstParagraph"/>
      </w:pPr>
      <w:r>
        <w:rPr>
          <w:bCs/>
          <w:b/>
        </w:rPr>
        <w:t xml:space="preserve">日元稳定币发行方JPYC完成约1200万美元B轮融资</w:t>
      </w:r>
    </w:p>
    <w:p>
      <w:pPr>
        <w:pStyle w:val="BodyText"/>
      </w:pPr>
      <w:r>
        <w:t xml:space="preserve">据Ledger Insights报道，日本日元稳定币发行方JPYC完成B轮首期融资，募资约17.8亿日元（约1200万美元），由日本IT解决方案提供商Asteria领投，BitFlyer Holdings亦参与。JPYC于2025年10月在日本资金移转业务监管框架下上线，是目前唯一在岸日元稳定币。</w:t>
      </w:r>
    </w:p>
    <w:p>
      <w:pPr>
        <w:pStyle w:val="BodyText"/>
      </w:pPr>
      <w:r>
        <w:t xml:space="preserve">来源：PANews / Ledger Insights</w:t>
      </w:r>
    </w:p>
    <w:p>
      <w:pPr>
        <w:pStyle w:val="BodyText"/>
      </w:pPr>
      <w:r>
        <w:rPr>
          <w:bCs/>
          <w:b/>
        </w:rPr>
        <w:t xml:space="preserve">Progmat将日本最大证券型代币平台迁移至Avalanche L1</w:t>
      </w:r>
    </w:p>
    <w:p>
      <w:pPr>
        <w:pStyle w:val="BodyText"/>
      </w:pPr>
      <w:r>
        <w:t xml:space="preserve">MUFG孵化的日本证券型代币平台Progmat宣布与Ava Labs达成合作，计划在2026年6月底前将目前基于Corda企业版账本的系统迁移至Avalanche L1区块链。同时，其现有互操作合作方Datachain将继续支持在非Avalanche链上发行证券型代币。</w:t>
      </w:r>
    </w:p>
    <w:p>
      <w:pPr>
        <w:pStyle w:val="BodyText"/>
      </w:pPr>
      <w:r>
        <w:t xml:space="preserve">来源：PANews</w:t>
      </w:r>
    </w:p>
    <w:p>
      <w:pPr>
        <w:pStyle w:val="BodyText"/>
      </w:pPr>
      <w:r>
        <w:rPr>
          <w:bCs/>
          <w:b/>
        </w:rPr>
        <w:t xml:space="preserve">Karpelès提议比特币硬分叉追回Mt.Gox 2011被盗近8万BTC</w:t>
      </w:r>
    </w:p>
    <w:p>
      <w:pPr>
        <w:pStyle w:val="BodyText"/>
      </w:pPr>
      <w:r>
        <w:t xml:space="preserve">前Mt.Gox CEO Mark Karpelès提出对比特币进行一次性硬分叉：新增共识规则允许用"Mt.Gox恢复地址"签名花费2011黑客地址1Feex…sb6uF中约79,956BTC(约52亿美元)，以返还债权人。他承认需协调全网升级且可能引发分叉争议。</w:t>
      </w:r>
    </w:p>
    <w:p>
      <w:pPr>
        <w:pStyle w:val="BodyText"/>
      </w:pPr>
      <w:r>
        <w:t xml:space="preserve">来源：PANews</w:t>
      </w:r>
    </w:p>
    <w:bookmarkEnd w:id="23"/>
    <w:bookmarkStart w:id="24" w:name="五ai与加密交叉"/>
    <w:p>
      <w:pPr>
        <w:pStyle w:val="Heading2"/>
      </w:pPr>
      <w:r>
        <w:t xml:space="preserve">五、AI与加密交叉</w:t>
      </w:r>
    </w:p>
    <w:p>
      <w:pPr>
        <w:pStyle w:val="FirstParagraph"/>
      </w:pPr>
      <w:r>
        <w:rPr>
          <w:bCs/>
          <w:b/>
        </w:rPr>
        <w:t xml:space="preserve">OpenAI开除涉预测市场"内幕交易"员工</w:t>
      </w:r>
    </w:p>
    <w:p>
      <w:pPr>
        <w:pStyle w:val="BodyText"/>
      </w:pPr>
      <w:r>
        <w:t xml:space="preserve">PANews 2月28日消息，据WIRED报道，OpenAI近日解雇一名员工，原因是其在Polymarket、Kalshi等预测市场平台上基于内部信息进行交易。该员工利用在OpenAI的工作身份获取的非公开信息下注相关合约，涉嫌构成"内幕交易"并违反公司合规政策。</w:t>
      </w:r>
    </w:p>
    <w:p>
      <w:pPr>
        <w:pStyle w:val="BodyText"/>
      </w:pPr>
      <w:r>
        <w:t xml:space="preserve">来源：PANews / WIRED</w:t>
      </w:r>
    </w:p>
    <w:p>
      <w:pPr>
        <w:pStyle w:val="BodyText"/>
      </w:pPr>
      <w:r>
        <w:rPr>
          <w:bCs/>
          <w:b/>
        </w:rPr>
        <w:t xml:space="preserve">OpenAI据悉拟再募资100亿美元</w:t>
      </w:r>
    </w:p>
    <w:p>
      <w:pPr>
        <w:pStyle w:val="BodyText"/>
      </w:pPr>
      <w:r>
        <w:t xml:space="preserve">PANews 2月28日消息，据The Information报道，OpenAI在从亚马逊、英伟达和软银等获得最高1100亿美元融资承诺后，预计在2026年3月底前再向金融投资者追加融资约100亿美元，交易可能使其估值升至约8500亿美元。</w:t>
      </w:r>
    </w:p>
    <w:p>
      <w:pPr>
        <w:pStyle w:val="BodyText"/>
      </w:pPr>
      <w:r>
        <w:t xml:space="preserve">来源：PANews / The Information</w:t>
      </w:r>
    </w:p>
    <w:p>
      <w:pPr>
        <w:pStyle w:val="BodyText"/>
      </w:pPr>
      <w:r>
        <w:rPr>
          <w:bCs/>
          <w:b/>
        </w:rPr>
        <w:t xml:space="preserve">OpenAI高管：ChatGPT日活用户已突破9亿</w:t>
      </w:r>
    </w:p>
    <w:p>
      <w:pPr>
        <w:pStyle w:val="BodyText"/>
      </w:pPr>
      <w:r>
        <w:t xml:space="preserve">OpenAI高管Nick Turley：ChatGPT日活用户已突破9亿，付费订阅用户达5000万。</w:t>
      </w:r>
    </w:p>
    <w:p>
      <w:pPr>
        <w:pStyle w:val="BodyText"/>
      </w:pPr>
      <w:r>
        <w:t xml:space="preserve">来源：PANews</w:t>
      </w:r>
    </w:p>
    <w:p>
      <w:pPr>
        <w:pStyle w:val="BodyText"/>
      </w:pPr>
      <w:r>
        <w:rPr>
          <w:bCs/>
          <w:b/>
        </w:rPr>
        <w:t xml:space="preserve">Anthropic称将起诉挑战"五角大楼供应链风险"认定</w:t>
      </w:r>
    </w:p>
    <w:p>
      <w:pPr>
        <w:pStyle w:val="BodyText"/>
      </w:pPr>
      <w:r>
        <w:t xml:space="preserve">PANews 2月28日消息，Anthropic表示已善意与美国国防部谈判且两项安全例外迄今未影响任何政府任务；若被认定为"供应链风险"将诉诸法庭，称该认定缺乏法律依据并会开危险先例。</w:t>
      </w:r>
    </w:p>
    <w:p>
      <w:pPr>
        <w:pStyle w:val="BodyText"/>
      </w:pPr>
      <w:r>
        <w:t xml:space="preserve">来源：PANews</w:t>
      </w:r>
    </w:p>
    <w:p>
      <w:pPr>
        <w:pStyle w:val="BodyText"/>
      </w:pPr>
      <w:r>
        <w:rPr>
          <w:bCs/>
          <w:b/>
        </w:rPr>
        <w:t xml:space="preserve">超200名Google、OpenAI员工联名敦促限制军事AI用途</w:t>
      </w:r>
    </w:p>
    <w:p>
      <w:pPr>
        <w:pStyle w:val="BodyText"/>
      </w:pPr>
      <w:r>
        <w:t xml:space="preserve">PANews 2月28日消息，据Axios报道，超过200名来自Google和OpenAI的员工签署联名公开信，呼吁两家公司效仿Anthropic，承诺不将其先进AI技术用于美国国内监控或完全自主武器。</w:t>
      </w:r>
    </w:p>
    <w:p>
      <w:pPr>
        <w:pStyle w:val="BodyText"/>
      </w:pPr>
      <w:r>
        <w:t xml:space="preserve">来源：PANews / Axios</w:t>
      </w:r>
    </w:p>
    <w:p>
      <w:pPr>
        <w:pStyle w:val="BodyText"/>
      </w:pPr>
      <w:r>
        <w:rPr>
          <w:bCs/>
          <w:b/>
        </w:rPr>
        <w:t xml:space="preserve">Ilya Sutskever称赞Anthropic和OpenAI的立场</w:t>
      </w:r>
    </w:p>
    <w:p>
      <w:pPr>
        <w:pStyle w:val="BodyText"/>
      </w:pPr>
      <w:r>
        <w:t xml:space="preserve">PANews 2月28日消息，SSI创始人、前OpenAI首席科学家兼联合创始人Ilya Sutskever就"Anthropic拒绝美国五角大楼就其军用AI项目放宽安全限制的要求"发推称，Anthropic没有退缩，这非常好；OpenAI采取类似立场，这一点也意义重大。</w:t>
      </w:r>
    </w:p>
    <w:p>
      <w:pPr>
        <w:pStyle w:val="BodyText"/>
      </w:pPr>
      <w:r>
        <w:t xml:space="preserve">来源：PANews</w:t>
      </w:r>
    </w:p>
    <w:bookmarkEnd w:id="24"/>
    <w:bookmarkStart w:id="25" w:name="六其他要闻"/>
    <w:p>
      <w:pPr>
        <w:pStyle w:val="Heading2"/>
      </w:pPr>
      <w:r>
        <w:t xml:space="preserve">六、其他要闻</w:t>
      </w:r>
    </w:p>
    <w:p>
      <w:pPr>
        <w:pStyle w:val="FirstParagraph"/>
      </w:pPr>
      <w:r>
        <w:rPr>
          <w:bCs/>
          <w:b/>
        </w:rPr>
        <w:t xml:space="preserve">SpaceX据悉最快3月秘密递交IPO申请，估值或超1.75万亿美元</w:t>
      </w:r>
    </w:p>
    <w:p>
      <w:pPr>
        <w:pStyle w:val="BodyText"/>
      </w:pPr>
      <w:r>
        <w:t xml:space="preserve">据彭博社报道，消息人士称SpaceX计划最快于2026年3月向美国SEC进行保密递表，或为6月上市铺路；IPO估值可能超过1.75万亿美元、募资规模或达500亿美元，细节仍可能调整。</w:t>
      </w:r>
    </w:p>
    <w:p>
      <w:pPr>
        <w:pStyle w:val="BodyText"/>
      </w:pPr>
      <w:r>
        <w:t xml:space="preserve">来源：PANews / 彭博社</w:t>
      </w:r>
    </w:p>
    <w:p>
      <w:pPr>
        <w:pStyle w:val="BodyText"/>
      </w:pPr>
      <w:r>
        <w:rPr>
          <w:bCs/>
          <w:b/>
        </w:rPr>
        <w:t xml:space="preserve">哥伦比亚特区诈骗中心特别工作组查获和冻结的加密资产达5.8亿美元</w:t>
      </w:r>
    </w:p>
    <w:p>
      <w:pPr>
        <w:pStyle w:val="BodyText"/>
      </w:pPr>
      <w:r>
        <w:t xml:space="preserve">据Decrypt报道，美国哥伦比亚特区联邦检察官办公室宣布，诈骗中心特别工作组从东南亚犯罪网络中冻结和扣押的加密货币已超过5.8亿美元。该工作组成立于2025年11月，目标是打击通过"杀猪盘"诈骗牟利的跨国犯罪网络。</w:t>
      </w:r>
    </w:p>
    <w:p>
      <w:pPr>
        <w:pStyle w:val="BodyText"/>
      </w:pPr>
      <w:r>
        <w:t xml:space="preserve">来源：PANews / Decrypt</w:t>
      </w:r>
    </w:p>
    <w:bookmarkEnd w:id="25"/>
    <w:bookmarkStart w:id="26" w:name="七市场数据速览"/>
    <w:p>
      <w:pPr>
        <w:pStyle w:val="Heading2"/>
      </w:pPr>
      <w:r>
        <w:t xml:space="preserve">七、市场数据速览</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指标</w:t>
            </w:r>
          </w:p>
        </w:tc>
        <w:tc>
          <w:tcPr/>
          <w:p>
            <w:pPr>
              <w:pStyle w:val="Compact"/>
              <w:jc w:val="left"/>
            </w:pPr>
            <w:r>
              <w:t xml:space="preserve">数据</w:t>
            </w:r>
          </w:p>
        </w:tc>
      </w:tr>
      <w:tr>
        <w:tc>
          <w:tcPr/>
          <w:p>
            <w:pPr>
              <w:pStyle w:val="Compact"/>
              <w:jc w:val="left"/>
            </w:pPr>
            <w:r>
              <w:t xml:space="preserve">XRP ETF净流入</w:t>
            </w:r>
          </w:p>
        </w:tc>
        <w:tc>
          <w:tcPr/>
          <w:p>
            <w:pPr>
              <w:pStyle w:val="Compact"/>
              <w:jc w:val="left"/>
            </w:pPr>
            <w:r>
              <w:t xml:space="preserve">220.52万美元</w:t>
            </w:r>
          </w:p>
        </w:tc>
      </w:tr>
      <w:tr>
        <w:tc>
          <w:tcPr/>
          <w:p>
            <w:pPr>
              <w:pStyle w:val="Compact"/>
              <w:jc w:val="left"/>
            </w:pPr>
            <w:r>
              <w:t xml:space="preserve">SOL ETF净流入</w:t>
            </w:r>
          </w:p>
        </w:tc>
        <w:tc>
          <w:tcPr/>
          <w:p>
            <w:pPr>
              <w:pStyle w:val="Compact"/>
              <w:jc w:val="left"/>
            </w:pPr>
            <w:r>
              <w:t xml:space="preserve">130.63万美元</w:t>
            </w:r>
          </w:p>
        </w:tc>
      </w:tr>
      <w:tr>
        <w:tc>
          <w:tcPr/>
          <w:p>
            <w:pPr>
              <w:pStyle w:val="Compact"/>
              <w:jc w:val="left"/>
            </w:pPr>
            <w:r>
              <w:t xml:space="preserve">BTC 2月跌幅</w:t>
            </w:r>
          </w:p>
        </w:tc>
        <w:tc>
          <w:tcPr/>
          <w:p>
            <w:pPr>
              <w:pStyle w:val="Compact"/>
              <w:jc w:val="left"/>
            </w:pPr>
            <w:r>
              <w:t xml:space="preserve">14%</w:t>
            </w:r>
          </w:p>
        </w:tc>
      </w:tr>
      <w:tr>
        <w:tc>
          <w:tcPr/>
          <w:p>
            <w:pPr>
              <w:pStyle w:val="Compact"/>
              <w:jc w:val="left"/>
            </w:pPr>
            <w:r>
              <w:t xml:space="preserve">鲸鱼地址30天增持</w:t>
            </w:r>
          </w:p>
        </w:tc>
        <w:tc>
          <w:tcPr/>
          <w:p>
            <w:pPr>
              <w:pStyle w:val="Compact"/>
              <w:jc w:val="left"/>
            </w:pPr>
            <w:r>
              <w:t xml:space="preserve">约15.2万枚BTC</w:t>
            </w:r>
          </w:p>
        </w:tc>
      </w:tr>
      <w:tr>
        <w:tc>
          <w:tcPr/>
          <w:p>
            <w:pPr>
              <w:pStyle w:val="Compact"/>
              <w:jc w:val="left"/>
            </w:pPr>
            <w:r>
              <w:t xml:space="preserve">贝莱德3天提币</w:t>
            </w:r>
          </w:p>
        </w:tc>
        <w:tc>
          <w:tcPr/>
          <w:p>
            <w:pPr>
              <w:pStyle w:val="Compact"/>
              <w:jc w:val="left"/>
            </w:pPr>
            <w:r>
              <w:t xml:space="preserve">10,749 BTC (约7.17亿美元)</w:t>
            </w:r>
          </w:p>
        </w:tc>
      </w:tr>
      <w:tr>
        <w:tc>
          <w:tcPr/>
          <w:p>
            <w:pPr>
              <w:pStyle w:val="Compact"/>
              <w:jc w:val="left"/>
            </w:pPr>
            <w:r>
              <w:t xml:space="preserve">ChatGPT日活用户</w:t>
            </w:r>
          </w:p>
        </w:tc>
        <w:tc>
          <w:tcPr/>
          <w:p>
            <w:pPr>
              <w:pStyle w:val="Compact"/>
              <w:jc w:val="left"/>
            </w:pPr>
            <w:r>
              <w:t xml:space="preserve">突破9亿</w:t>
            </w:r>
          </w:p>
        </w:tc>
      </w:tr>
      <w:tr>
        <w:tc>
          <w:tcPr/>
          <w:p>
            <w:pPr>
              <w:pStyle w:val="Compact"/>
              <w:jc w:val="left"/>
            </w:pPr>
            <w:r>
              <w:t xml:space="preserve">ChatGPT付费订阅</w:t>
            </w:r>
          </w:p>
        </w:tc>
        <w:tc>
          <w:tcPr/>
          <w:p>
            <w:pPr>
              <w:pStyle w:val="Compact"/>
              <w:jc w:val="left"/>
            </w:pPr>
            <w:r>
              <w:t xml:space="preserve">5000万</w:t>
            </w:r>
          </w:p>
        </w:tc>
      </w:tr>
      <w:tr>
        <w:tc>
          <w:tcPr/>
          <w:p>
            <w:pPr>
              <w:pStyle w:val="Compact"/>
              <w:jc w:val="left"/>
            </w:pPr>
            <w:r>
              <w:t xml:space="preserve">SpaceX预计IPO估值</w:t>
            </w:r>
          </w:p>
        </w:tc>
        <w:tc>
          <w:tcPr/>
          <w:p>
            <w:pPr>
              <w:pStyle w:val="Compact"/>
              <w:jc w:val="left"/>
            </w:pPr>
            <w:r>
              <w:t xml:space="preserve">超1.75万亿美元</w:t>
            </w:r>
          </w:p>
        </w:tc>
      </w:tr>
    </w:tbl>
    <w:p>
      <w:pPr>
        <w:pStyle w:val="BodyText"/>
      </w:pPr>
      <w:r>
        <w:t xml:space="preserve">报告生成时间：2025年2月28日</w:t>
      </w:r>
    </w:p>
    <w:p>
      <w:pPr>
        <w:pStyle w:val="BodyText"/>
      </w:pPr>
      <w:r>
        <w:t xml:space="preserve">数据来源：PANews | 本报告仅供参考，不构成投资建议</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2026-02-28T02:52:20Z</dcterms:created>
  <dcterms:modified xsi:type="dcterms:W3CDTF">2026-02-28T02:52:20Z</dcterms:modified>
</cp:coreProperties>
</file>

<file path=docProps/custom.xml><?xml version="1.0" encoding="utf-8"?>
<Properties xmlns="http://schemas.openxmlformats.org/officeDocument/2006/custom-properties" xmlns:vt="http://schemas.openxmlformats.org/officeDocument/2006/docPropsVTypes"/>
</file>