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今日币圈资讯及个人交易笔记-2026.02.25-26"/>
    <w:p>
      <w:pPr>
        <w:pStyle w:val="Heading1"/>
      </w:pPr>
      <w:r>
        <w:t xml:space="preserve">今日币圈资讯及个人交易笔记-2026.02.25-26</w:t>
      </w:r>
    </w:p>
    <w:p>
      <w:r>
        <w:pict>
          <v:rect style="width:0;height:1.5pt" o:hralign="center" o:hrstd="t" o:hr="t"/>
        </w:pict>
      </w:r>
    </w:p>
    <w:bookmarkStart w:id="20" w:name="一市场概览"/>
    <w:p>
      <w:pPr>
        <w:pStyle w:val="Heading2"/>
      </w:pPr>
      <w:r>
        <w:t xml:space="preserve">一、市场概览</w:t>
      </w:r>
    </w:p>
    <w:p>
      <w:pPr>
        <w:pStyle w:val="FirstParagraph"/>
      </w:pPr>
      <w:r>
        <w:rPr>
          <w:bCs/>
          <w:b/>
        </w:rPr>
        <w:t xml:space="preserve">2月25日大盘行情</w:t>
      </w:r>
      <w:r>
        <w:t xml:space="preserve"> </w:t>
      </w:r>
      <w:r>
        <w:t xml:space="preserve">| 币种 | 涨跌幅 | 价格 | 备注 |</w:t>
      </w:r>
      <w:r>
        <w:t xml:space="preserve"> </w:t>
      </w:r>
      <w:r>
        <w:t xml:space="preserve">|——|——–|——|——|</w:t>
      </w:r>
      <w:r>
        <w:t xml:space="preserve"> </w:t>
      </w:r>
      <w:r>
        <w:t xml:space="preserve">| BTC | -4% | 跌破$63,000 | 一度跌至$62,900 |</w:t>
      </w:r>
      <w:r>
        <w:t xml:space="preserve"> </w:t>
      </w:r>
      <w:r>
        <w:t xml:space="preserve">| ETH | +2.18% | $1,887 | 24h涨超3% |</w:t>
      </w:r>
    </w:p>
    <w:p>
      <w:pPr>
        <w:pStyle w:val="BodyText"/>
      </w:pPr>
      <w:r>
        <w:rPr>
          <w:bCs/>
          <w:b/>
        </w:rPr>
        <w:t xml:space="preserve">2月26日大盘行情</w:t>
      </w:r>
      <w:r>
        <w:t xml:space="preserve"> </w:t>
      </w:r>
      <w:r>
        <w:t xml:space="preserve">| 币种 | 24h涨幅 | 价格 | 备注 |</w:t>
      </w:r>
      <w:r>
        <w:t xml:space="preserve"> </w:t>
      </w:r>
      <w:r>
        <w:t xml:space="preserve">|——|———|——|——|</w:t>
      </w:r>
      <w:r>
        <w:t xml:space="preserve"> </w:t>
      </w:r>
      <w:r>
        <w:t xml:space="preserve">| BTC | +3.53% | 突破$68,000 | 盘中一度逼近$70,000 |</w:t>
      </w:r>
      <w:r>
        <w:t xml:space="preserve"> </w:t>
      </w:r>
      <w:r>
        <w:t xml:space="preserve">| ETH | +7.23% | 重返$2,000上方 | 强势反弹 |</w:t>
      </w:r>
    </w:p>
    <w:p>
      <w:pPr>
        <w:pStyle w:val="BodyText"/>
      </w:pPr>
      <w:r>
        <w:rPr>
          <w:bCs/>
          <w:b/>
        </w:rPr>
        <w:t xml:space="preserve">市场情绪</w:t>
      </w:r>
      <w:r>
        <w:t xml:space="preserve">：</w:t>
      </w:r>
      <w:r>
        <w:t xml:space="preserve"> </w:t>
      </w:r>
      <w:r>
        <w:t xml:space="preserve">- 2月25日：避险情绪升温，比特币或面临”大规模清洗”跌向$55,000</w:t>
      </w:r>
      <w:r>
        <w:t xml:space="preserve"> </w:t>
      </w:r>
      <w:r>
        <w:t xml:space="preserve">- 2月26日：Circle 2025年Q4业绩全面超预期，提振加密板块整体上涨</w:t>
      </w:r>
    </w:p>
    <w:p>
      <w:pPr>
        <w:pStyle w:val="BodyText"/>
      </w:pPr>
      <w:r>
        <w:rPr>
          <w:bCs/>
          <w:b/>
        </w:rPr>
        <w:t xml:space="preserve">ETF数据</w:t>
      </w:r>
      <w:r>
        <w:t xml:space="preserve">：</w:t>
      </w:r>
      <w:r>
        <w:t xml:space="preserve"> </w:t>
      </w:r>
      <w:r>
        <w:t xml:space="preserve">- 比特币现货ETF（2月24日）：总净流入2.58亿美元，富达FBTC净流入8,281万美元居首</w:t>
      </w:r>
      <w:r>
        <w:t xml:space="preserve"> </w:t>
      </w:r>
      <w:r>
        <w:t xml:space="preserve">- 以太坊现货ETF（2月24日）：总净流入922.71万美元，灰度ETH净流入1,107.95万美元居首</w:t>
      </w:r>
    </w:p>
    <w:p>
      <w:r>
        <w:pict>
          <v:rect style="width:0;height:1.5pt" o:hralign="center" o:hrstd="t" o:hr="t"/>
        </w:pict>
      </w:r>
    </w:p>
    <w:bookmarkEnd w:id="20"/>
    <w:bookmarkStart w:id="26" w:name="二2月25日重要新闻"/>
    <w:p>
      <w:pPr>
        <w:pStyle w:val="Heading2"/>
      </w:pPr>
      <w:r>
        <w:t xml:space="preserve">二、2月25日重要新闻</w:t>
      </w:r>
    </w:p>
    <w:bookmarkStart w:id="21" w:name="监管动态"/>
    <w:p>
      <w:pPr>
        <w:pStyle w:val="Heading3"/>
      </w:pPr>
      <w:r>
        <w:t xml:space="preserve">1、监管动态</w:t>
      </w:r>
    </w:p>
    <w:p>
      <w:pPr>
        <w:pStyle w:val="FirstParagraph"/>
      </w:pPr>
      <w:r>
        <w:rPr>
          <w:bCs/>
          <w:b/>
        </w:rPr>
        <w:t xml:space="preserve">1.1 香港稳定币牌照制度</w:t>
      </w:r>
      <w:r>
        <w:t xml:space="preserve"> </w:t>
      </w:r>
      <w:r>
        <w:t xml:space="preserve">PANews 2月25日消息，香港财政司司长陈茂波在《财政预算案2026》中表示，政府将于年内提交数字资产政策条例草案，就数字资产交易及托管等服务提供者订立发牌制度，现时香港已实施法币稳定币发行人发牌制度，将在3月发出首批牌照，而政府及金融监管机构会继续促进持牌发行人在合规和风险可控的情况下，探索更多应用场景。陈茂波指，证监会亦将在充分保障投资者的前提下，进一步促进香港数字资产市场的流动性，为专业投资者提供更多产品和服务，并会建立加速器以加快推动市场创新。</w:t>
      </w:r>
    </w:p>
    <w:p>
      <w:pPr>
        <w:pStyle w:val="BodyText"/>
      </w:pPr>
      <w:r>
        <w:rPr>
          <w:bCs/>
          <w:b/>
        </w:rPr>
        <w:t xml:space="preserve">1.2 俄罗斯《数字货币和数字权利法》草案拟于7月1日生效</w:t>
      </w:r>
      <w:r>
        <w:t xml:space="preserve"> </w:t>
      </w:r>
      <w:r>
        <w:t xml:space="preserve">PANews 2月25日消息，俄罗斯央行（CBR）与财政部起草《数字货币和数字权利法》草案，拟于7月1日生效。草案将便利国家机关获取加密钱包与交易数据，并强化行业监管。草案规定，仅持牌交易所可组织加密交易，兑换商须纳入官方登记并满足资本要求。非合格投资者需通过测试，且单笔投资上限或为30万卢布（约3,300美元）。交易所与兑换商须向央行、俄罗斯金融监测局等披露资金流向。违规使用未在俄合法化的境外平台，或自2027年起面临罚款。</w:t>
      </w:r>
    </w:p>
    <w:p>
      <w:pPr>
        <w:pStyle w:val="BodyText"/>
      </w:pPr>
      <w:r>
        <w:rPr>
          <w:bCs/>
          <w:b/>
        </w:rPr>
        <w:t xml:space="preserve">1.3 特朗普政府考虑要求银行收集客户公民身份信息</w:t>
      </w:r>
      <w:r>
        <w:t xml:space="preserve"> </w:t>
      </w:r>
      <w:r>
        <w:t xml:space="preserve">PANews 2月25日消息，据《华尔街日报》报道，特朗普政府正考虑通过行政命令或其他措施，要求美国银行系统性收集客户公民身份信息。知情人士称，此举由美国财政部牵头评估，可能要求银行向新老客户索要包括护照在内的额外身份证明文件，作为在美开立或保留银行账户的前提条件。该措施被视为白宫打击在美非法居留移民行动向金融体系延伸的最新尝试，目前尚未正式公布具体执行细节与时间表。</w:t>
      </w:r>
    </w:p>
    <w:p>
      <w:pPr>
        <w:pStyle w:val="BodyText"/>
      </w:pPr>
      <w:r>
        <w:rPr>
          <w:bCs/>
          <w:b/>
        </w:rPr>
        <w:t xml:space="preserve">1.4 英国稳定币持有上限争议</w:t>
      </w:r>
      <w:r>
        <w:t xml:space="preserve"> </w:t>
      </w:r>
      <w:r>
        <w:t xml:space="preserve">PANews 2月25日消息，Coinbase CEO Brian Armstrong警告称，英格兰银行提议的稳定币持有上限可能会使英国失去全球金融中心地位。他表示：</w:t>
      </w:r>
      <w:r>
        <w:t xml:space="preserve">“</w:t>
      </w:r>
      <w:r>
        <w:t xml:space="preserve">英国的稳定币规则正在敲定中，但可能阻碍英国在数字经济中的全球竞争力。目前规则的方向适得其反，将成为创新的阻碍。</w:t>
      </w:r>
      <w:r>
        <w:t xml:space="preserve">”</w:t>
      </w:r>
      <w:r>
        <w:t xml:space="preserve">英格兰银行去年提议将个人稳定币持有上限设为26,350美元（2万英镑），企业持有上限为1,270万美元（1,000万英镑），并要求40%的储备金存放在无息的央行账户中。</w:t>
      </w:r>
    </w:p>
    <w:p>
      <w:r>
        <w:pict>
          <v:rect style="width:0;height:1.5pt" o:hralign="center" o:hrstd="t" o:hr="t"/>
        </w:pict>
      </w:r>
    </w:p>
    <w:bookmarkEnd w:id="21"/>
    <w:bookmarkStart w:id="22" w:name="机构动态"/>
    <w:p>
      <w:pPr>
        <w:pStyle w:val="Heading3"/>
      </w:pPr>
      <w:r>
        <w:t xml:space="preserve">2、机构动态</w:t>
      </w:r>
    </w:p>
    <w:p>
      <w:pPr>
        <w:pStyle w:val="FirstParagraph"/>
      </w:pPr>
      <w:r>
        <w:rPr>
          <w:bCs/>
          <w:b/>
        </w:rPr>
        <w:t xml:space="preserve">2.1 Strategy成为美国被做空额最高的成份股，持仓浮亏约70亿美元</w:t>
      </w:r>
      <w:r>
        <w:t xml:space="preserve"> </w:t>
      </w:r>
      <w:r>
        <w:t xml:space="preserve">PANews 2月25日消息，根据高盛对冲基金头寸数据，Strategy已成为美国被做空额最高的成份股，其卖空比例占市值百分比位居大盘股首位。上周Strategy以3,980万美元购入592枚比特币，目前持有717,722枚比特币。由于比特币价格处于66,000美元附近，其持仓平均单价为76,020美元，目前产生约70亿美元未实现亏损。目前16家经纪公司中有14家对Strategy给予强力买入评级，占比约94%。</w:t>
      </w:r>
    </w:p>
    <w:p>
      <w:pPr>
        <w:pStyle w:val="BodyText"/>
      </w:pPr>
      <w:r>
        <w:rPr>
          <w:bCs/>
          <w:b/>
        </w:rPr>
        <w:t xml:space="preserve">2.2 Strategy相关钱包两个月后再度转账1,300枚BTC</w:t>
      </w:r>
      <w:r>
        <w:t xml:space="preserve"> </w:t>
      </w:r>
      <w:r>
        <w:t xml:space="preserve">PANews 2月25日消息，链上数据监测显示，沉寂约两个月后，Strategy相关钱包再次出现大额资金变动，向新钱包转移了约1,300枚BTC，按当前价格折合约8,300万美元。Lookonchain指出，此次操作大概率可能是仅仅重新组织资金。</w:t>
      </w:r>
    </w:p>
    <w:p>
      <w:pPr>
        <w:pStyle w:val="BodyText"/>
      </w:pPr>
      <w:r>
        <w:rPr>
          <w:bCs/>
          <w:b/>
        </w:rPr>
        <w:t xml:space="preserve">2.3 Michael Saylor：比特币正经历类似苹果2013年的”绝望之谷”</w:t>
      </w:r>
      <w:r>
        <w:t xml:space="preserve"> </w:t>
      </w:r>
      <w:r>
        <w:t xml:space="preserve">PANews 2月25日消息，据CoinDesk报道，Strategy创始人Michael Saylor在播客采访中将比特币当前45%的回撤与苹果公司2013年的下跌相提并论。当时苹果股价从高点回落45%，市盈率跌破10倍，市场对其未来失去信心，但最终用了七年时间在Carl Icahn和Warren Buffett的支持下才完全收复估值。Saylor认为，任何成功的科技投资都必须经历45%的回撤和”绝望之谷”，比特币回撤目前已持续137天，但可能持续两年、三年甚至七年。</w:t>
      </w:r>
    </w:p>
    <w:p>
      <w:pPr>
        <w:pStyle w:val="BodyText"/>
      </w:pPr>
      <w:r>
        <w:rPr>
          <w:bCs/>
          <w:b/>
        </w:rPr>
        <w:t xml:space="preserve">2.4 Meta计划2026年下半年重启稳定币业务</w:t>
      </w:r>
      <w:r>
        <w:t xml:space="preserve"> </w:t>
      </w:r>
      <w:r>
        <w:t xml:space="preserve">PANews 2月25日消息，据CoinDesk援引三位知情人士报道，Meta计划在今年晚些时候进军稳定币领域，前提是能成功与第三方公司整合，以便使用与美元挂钩的代币技术进行支付。Meta希望在今年下半年初开始其稳定币整合工作，已向第三方公司发出产品征求建议书（RFP），并提到Stripe可能会成为Meta稳定币试点的合作方。Stripe去年收购了稳定币公司Bridge，一直是Meta的长期合作伙伴。</w:t>
      </w:r>
    </w:p>
    <w:p>
      <w:pPr>
        <w:pStyle w:val="BodyText"/>
      </w:pPr>
      <w:r>
        <w:rPr>
          <w:bCs/>
          <w:b/>
        </w:rPr>
        <w:t xml:space="preserve">2.5 Mastercard招聘加密产品总监推进稳定币法币转换业务</w:t>
      </w:r>
      <w:r>
        <w:t xml:space="preserve"> </w:t>
      </w:r>
      <w:r>
        <w:t xml:space="preserve">PANews 2月25日消息，据Mastercard官网显示，该公司招聘Director, Crypto Flows, Product Management职位，负责推进加密资产与法币间的出入金产品，包括卡发行、收单、Send及新型支付流。岗位将围绕稳定币、Tokenized Assets和DeFi等场景进行市场测算，设计并落地加密联名卡等产品。</w:t>
      </w:r>
    </w:p>
    <w:p>
      <w:pPr>
        <w:pStyle w:val="BodyText"/>
      </w:pPr>
      <w:r>
        <w:rPr>
          <w:bCs/>
          <w:b/>
        </w:rPr>
        <w:t xml:space="preserve">2.6 Bitwise收购质押服务商Chorus One</w:t>
      </w:r>
      <w:r>
        <w:t xml:space="preserve"> </w:t>
      </w:r>
      <w:r>
        <w:t xml:space="preserve">PANews 2月25日消息，据Bitwise公告称，公司已收购机构级质押服务商Chorus One，后者管理超22亿美元质押资产。Chorus One将并入Bitwise Onchain Solutions（BOS），助力其拓展至30多个PoS网络，包括Solana、Avalanche、Sui、NEAR、Aptos、Toncoin等。此次交易将新增50名技术人员，交易完成后Bitwise员工总数接近200人，管理客户资产超150亿美元。</w:t>
      </w:r>
    </w:p>
    <w:p>
      <w:pPr>
        <w:pStyle w:val="BodyText"/>
      </w:pPr>
      <w:r>
        <w:rPr>
          <w:bCs/>
          <w:b/>
        </w:rPr>
        <w:t xml:space="preserve">2.7 法国巴黎银行在以太坊发行代币化货币基金</w:t>
      </w:r>
      <w:r>
        <w:t xml:space="preserve"> </w:t>
      </w:r>
      <w:r>
        <w:t xml:space="preserve">PANews 2月25日消息，法国巴黎银行资产管理公司已在公共区块链上发行一支法国注册货币市场基金的代币化份额。该项目于2月20日宣布，从私有账本转向以太坊公共网络，是该行探索代币化技术的重要进展。项目在以太坊上采用许可访问模式，仅允许预先批准的受监管参与者持有或转让代币化份额。</w:t>
      </w:r>
    </w:p>
    <w:p>
      <w:pPr>
        <w:pStyle w:val="BodyText"/>
      </w:pPr>
      <w:r>
        <w:rPr>
          <w:bCs/>
          <w:b/>
        </w:rPr>
        <w:t xml:space="preserve">2.8 WisdomTree推出代币化货币市场基金份额的24/7交易与即时结算服务</w:t>
      </w:r>
      <w:r>
        <w:t xml:space="preserve"> </w:t>
      </w:r>
      <w:r>
        <w:t xml:space="preserve">PANews 2月25日消息，据Businesswire报道，WisdomTree宣布其旗下WisdomTree国债货币市场数字基金（WTGXX）现已推出全天候24小时交易和即时结算功能。这是注册代币化共同基金份额首次获准在美国监管范围内，通过交易商-委托人流动性模式进行全天候24小时交易和即时结算。</w:t>
      </w:r>
    </w:p>
    <w:p>
      <w:pPr>
        <w:pStyle w:val="BodyText"/>
      </w:pPr>
      <w:r>
        <w:rPr>
          <w:bCs/>
          <w:b/>
        </w:rPr>
        <w:t xml:space="preserve">2.9 阿联酋国民银行已在投资流程中开放配置比特币的可能性</w:t>
      </w:r>
      <w:r>
        <w:t xml:space="preserve"> </w:t>
      </w:r>
      <w:r>
        <w:t xml:space="preserve">PANews 2月25日消息，阿联酋国民银行（Emirates NBD）高管在接受CNBC采访时表示，该行已在投资流程中开放配置比特币的可能性，将其视为价值储存工具与”数字黄金”，认可其工作量证明机制、供应有限及低通胀特征。该高管透露，该行内部公允价值模型显示，比特币12个月内的合理价格有望接近10万美元。</w:t>
      </w:r>
    </w:p>
    <w:p>
      <w:pPr>
        <w:pStyle w:val="BodyText"/>
      </w:pPr>
      <w:r>
        <w:rPr>
          <w:bCs/>
          <w:b/>
        </w:rPr>
        <w:t xml:space="preserve">2.10 Cathie Wood：比特币”毫无疑问”优于黄金</w:t>
      </w:r>
      <w:r>
        <w:t xml:space="preserve"> </w:t>
      </w:r>
      <w:r>
        <w:t xml:space="preserve">PANews 2月25日消息，据The Crypto Basic报道，Ark Invest创始人Cathie Wood在接受彭博采访时重申对比特币的坚定信心，称其”毫无疑问”优于黄金。她认为比特币对通胀和通缩均具对冲功能，数字属性使其在现代金融体系中具备结构性优势，而黄金的需求格局已趋于成熟。</w:t>
      </w:r>
    </w:p>
    <w:p>
      <w:r>
        <w:pict>
          <v:rect style="width:0;height:1.5pt" o:hralign="center" o:hrstd="t" o:hr="t"/>
        </w:pict>
      </w:r>
    </w:p>
    <w:bookmarkEnd w:id="22"/>
    <w:bookmarkStart w:id="23" w:name="交易所项目动态"/>
    <w:p>
      <w:pPr>
        <w:pStyle w:val="Heading3"/>
      </w:pPr>
      <w:r>
        <w:t xml:space="preserve">3、交易所/项目动态</w:t>
      </w:r>
    </w:p>
    <w:p>
      <w:pPr>
        <w:pStyle w:val="FirstParagraph"/>
      </w:pPr>
      <w:r>
        <w:rPr>
          <w:bCs/>
          <w:b/>
        </w:rPr>
        <w:t xml:space="preserve">3.1 币安通过与Ondo Finance合作重新进入代币化股票市场</w:t>
      </w:r>
      <w:r>
        <w:t xml:space="preserve"> </w:t>
      </w:r>
      <w:r>
        <w:t xml:space="preserve">PANews 2月25日消息，据The Block报道，币安通过与Ondo Finance达成合作，重新进入代币化股票市场。Ondo Finance总裁Ian De Bode表示，币安已在Binance Alpha及币安钱包中上线10种Ondo代币化美股及ETF，包括AAPLon、GOOGLon、TSLAon、NVDAon及QQQon。币安发言人表示，Ondo代币属于数字证券，币安通过其在阿布扎比金融服务监管局的监管许可提供这些产品。</w:t>
      </w:r>
    </w:p>
    <w:p>
      <w:pPr>
        <w:pStyle w:val="BodyText"/>
      </w:pPr>
      <w:r>
        <w:rPr>
          <w:bCs/>
          <w:b/>
        </w:rPr>
        <w:t xml:space="preserve">3.2 21Shares推出21Shares Spot SUI ETF</w:t>
      </w:r>
      <w:r>
        <w:t xml:space="preserve"> </w:t>
      </w:r>
      <w:r>
        <w:t xml:space="preserve">PANews 2月25日消息，数字资产管理公司21Shares推出21Shares Sui ETF（TSUI），并已在纳斯达克挂牌交易。该产品为现货结构，此前21Shares已于去年12月推出2X SUI杠杆ETF。</w:t>
      </w:r>
    </w:p>
    <w:p>
      <w:pPr>
        <w:pStyle w:val="BodyText"/>
      </w:pPr>
      <w:r>
        <w:rPr>
          <w:bCs/>
          <w:b/>
        </w:rPr>
        <w:t xml:space="preserve">3.3 Coinbase与雅虎财经合作，向所有美国用户开放股票交易</w:t>
      </w:r>
      <w:r>
        <w:t xml:space="preserve"> </w:t>
      </w:r>
      <w:r>
        <w:t xml:space="preserve">PANews 2月25日消息，Coinbase已向所有美国用户开放股票交易功能，这是自去年12月有限度试点后的全面扩展。该交易所同时与雅虎财经达成合作，将在后者的股票及加密资产页面添加”在Coinbase交易”按钮。双方未披露交易财务条款。</w:t>
      </w:r>
    </w:p>
    <w:p>
      <w:pPr>
        <w:pStyle w:val="BodyText"/>
      </w:pPr>
      <w:r>
        <w:rPr>
          <w:bCs/>
          <w:b/>
        </w:rPr>
        <w:t xml:space="preserve">3.4 币安杠杆新增TAO与多组U本位交易对</w:t>
      </w:r>
      <w:r>
        <w:t xml:space="preserve"> </w:t>
      </w:r>
      <w:r>
        <w:t xml:space="preserve">PANews 2月25日消息，据币安公告，币安杠杆将于今日16:00上线TAO/USD1全仓杠杆交易对，并于18:00新增ADA/U、DOGE/U、PEPE/U全仓杠杆交易对。</w:t>
      </w:r>
    </w:p>
    <w:p>
      <w:pPr>
        <w:pStyle w:val="BodyText"/>
      </w:pPr>
      <w:r>
        <w:rPr>
          <w:bCs/>
          <w:b/>
        </w:rPr>
        <w:t xml:space="preserve">3.5 MoonPay推出MoonPay Agents</w:t>
      </w:r>
      <w:r>
        <w:t xml:space="preserve"> </w:t>
      </w:r>
      <w:r>
        <w:t xml:space="preserve">PANews 2月25日消息，据PRNewswire报道，加密货币支付公司MoonPay宣布推出MoonPay Agents，这是一个非托管软件层，允许AI代理通过MoonPay CLI自主访问钱包、资金并进行交易。用户通过MoonPay验证并充值钱包后，AI代理可代表用户进行代币交易、兑换及数字资产转移。</w:t>
      </w:r>
    </w:p>
    <w:p>
      <w:r>
        <w:pict>
          <v:rect style="width:0;height:1.5pt" o:hralign="center" o:hrstd="t" o:hr="t"/>
        </w:pict>
      </w:r>
    </w:p>
    <w:bookmarkEnd w:id="23"/>
    <w:bookmarkStart w:id="24" w:name="链上数据"/>
    <w:p>
      <w:pPr>
        <w:pStyle w:val="Heading3"/>
      </w:pPr>
      <w:r>
        <w:t xml:space="preserve">4、链上数据</w:t>
      </w:r>
    </w:p>
    <w:p>
      <w:pPr>
        <w:pStyle w:val="FirstParagraph"/>
      </w:pPr>
      <w:r>
        <w:rPr>
          <w:bCs/>
          <w:b/>
        </w:rPr>
        <w:t xml:space="preserve">4.1 某BTC巨鲸向币安存入280枚BTC</w:t>
      </w:r>
      <w:r>
        <w:t xml:space="preserve"> </w:t>
      </w:r>
      <w:r>
        <w:t xml:space="preserve">PANews 2月25日消息，据The Data Nerd监测，过去9小时，某BTC巨鲸（疑似Galaxy Digital）向币安存入280枚BTC（约1,843万美元）。</w:t>
      </w:r>
    </w:p>
    <w:p>
      <w:pPr>
        <w:pStyle w:val="BodyText"/>
      </w:pPr>
      <w:r>
        <w:rPr>
          <w:bCs/>
          <w:b/>
        </w:rPr>
        <w:t xml:space="preserve">4.2 某地址抛售约590万美元WEETH和WBTC</w:t>
      </w:r>
      <w:r>
        <w:t xml:space="preserve"> </w:t>
      </w:r>
      <w:r>
        <w:t xml:space="preserve">PANews 2月25日消息，据Ai姨报道，链上地址0xeABD4A433D9BD08DDbB086503b18BBe2dD51a414过去4小时内抛售约263万美元WEETH和326.6万美元WBTC，总计约590万美元。其中WEETH持仓超过一年，建仓均价3,022.31美元，抛售价格2,082.62美元，账面亏损约118.8万美元。</w:t>
      </w:r>
    </w:p>
    <w:p>
      <w:pPr>
        <w:pStyle w:val="BodyText"/>
      </w:pPr>
      <w:r>
        <w:rPr>
          <w:bCs/>
          <w:b/>
        </w:rPr>
        <w:t xml:space="preserve">4.3 以太坊财库公司FG Nexus减持7,550枚ETH</w:t>
      </w:r>
      <w:r>
        <w:t xml:space="preserve"> </w:t>
      </w:r>
      <w:r>
        <w:t xml:space="preserve">PANews 2月25日消息，据@EmberCN监测，8小时前，以太坊财库公司FG Nexus减持了7,550枚ETH（价值1,406万美元）。分析指出，FG Nexus因为投资ETH已经损失了8,698万美元。该公司在去年8至9月份购买了5.06万枚ETH，均价约3,940美元，当时价值2亿美元。在ETH价格下跌后，他们从11月份开始减持ETH，到目前一共减持了2.1万枚ETH（价值5,569万美元），均价2,649美元。</w:t>
      </w:r>
    </w:p>
    <w:p>
      <w:r>
        <w:pict>
          <v:rect style="width:0;height:1.5pt" o:hralign="center" o:hrstd="t" o:hr="t"/>
        </w:pict>
      </w:r>
    </w:p>
    <w:bookmarkEnd w:id="24"/>
    <w:bookmarkStart w:id="25" w:name="市场分析"/>
    <w:p>
      <w:pPr>
        <w:pStyle w:val="Heading3"/>
      </w:pPr>
      <w:r>
        <w:t xml:space="preserve">5、市场分析</w:t>
      </w:r>
    </w:p>
    <w:p>
      <w:pPr>
        <w:pStyle w:val="FirstParagraph"/>
      </w:pPr>
      <w:r>
        <w:rPr>
          <w:bCs/>
          <w:b/>
        </w:rPr>
        <w:t xml:space="preserve">5.1 Coinbase研报：BTC下行至6万美元或因负Gamma加速，上行至9万美元将面临震荡阻力</w:t>
      </w:r>
      <w:r>
        <w:t xml:space="preserve"> </w:t>
      </w:r>
      <w:r>
        <w:t xml:space="preserve">PANews 2月25日消息，Coinbase Institutional发布最新比特币市场研究报告，引入期权市场的”Gamma敞口（GEX）“指标以分析流动性与价格波动。报告指出，目前BTC最密集的支撑位在6万美元附近，首个密集的阻力带在8.2万美元左右。结合Gamma敞口分析，6万至7万美元区域集中了明显的负Gamma（做市商倾向于追涨杀跌，从而放大波动），而8.5万至9万美元区域则存在明显的正Gamma（倾向于高抛低吸，抑制波动）。</w:t>
      </w:r>
    </w:p>
    <w:p>
      <w:pPr>
        <w:pStyle w:val="BodyText"/>
      </w:pPr>
      <w:r>
        <w:rPr>
          <w:bCs/>
          <w:b/>
        </w:rPr>
        <w:t xml:space="preserve">5.2 分析师：随着资金外流加速，比特币或面临”大规模清洗”跌向5.5万美元</w:t>
      </w:r>
      <w:r>
        <w:t xml:space="preserve"> </w:t>
      </w:r>
      <w:r>
        <w:t xml:space="preserve">PANews 2月25日消息，据The Block报道，比特币周二延续跌势，一度跌破62,900美元，日内跌幅约4%。分析师警告，在持续资金外流及宏观风险累积背景下，市场仍可能面临更大幅度的”清洗”。XS.com高级市场分析师Samer Hasn表示，比特币已走出盘整阶段进入新下跌周期，地缘政治紧张、关税不确定性及流动性收紧正促使资金加速撤离加密市场。他认为若抛压持续，53,000至55,000美元区间是潜在下行目标。</w:t>
      </w:r>
    </w:p>
    <w:p>
      <w:pPr>
        <w:pStyle w:val="BodyText"/>
      </w:pPr>
      <w:r>
        <w:rPr>
          <w:bCs/>
          <w:b/>
        </w:rPr>
        <w:t xml:space="preserve">5.3 分析：比特币交易者”过度亏损”信号闪现，或将推动价格跌破4.4万美元</w:t>
      </w:r>
      <w:r>
        <w:t xml:space="preserve"> </w:t>
      </w:r>
      <w:r>
        <w:t xml:space="preserve">PANews 2月25日消息，据Cointelegraph报道，Glassnode数据显示，比特币交易者的已实现盈亏比（90日移动均线）跌破1，表明投资者正在亏损出售持仓，这是自2022年以来首次出现此类信号。历史数据显示，该指标跌破1后通常伴随至少六个月的亏损实现期，并预示价格进一步下行：2022年熊市中比特币在指标跌破1后六个月内下跌25%，2018年则在五个月内下跌超50%。</w:t>
      </w:r>
    </w:p>
    <w:p>
      <w:pPr>
        <w:pStyle w:val="BodyText"/>
      </w:pPr>
      <w:r>
        <w:rPr>
          <w:bCs/>
          <w:b/>
        </w:rPr>
        <w:t xml:space="preserve">5.4 Glassnode：超40万枚比特币在6万至7万美元区间被积累，形成密集成本支撑区</w:t>
      </w:r>
      <w:r>
        <w:t xml:space="preserve"> </w:t>
      </w:r>
      <w:r>
        <w:t xml:space="preserve">PANews 2月25日消息，据CoinDesk报道，Glassnode数据显示，在比特币近期下跌过程中，有超过40万枚BTC在60,000至70,000美元区间被积累。该价格区间内的供应量从1月1日的约99.7万枚增至目前的约143万枚，增幅达43%，占非交易所流通供应量的8%以上，形成密集的持币成本区。</w:t>
      </w:r>
    </w:p>
    <w:p>
      <w:r>
        <w:pict>
          <v:rect style="width:0;height:1.5pt" o:hralign="center" o:hrstd="t" o:hr="t"/>
        </w:pict>
      </w:r>
    </w:p>
    <w:bookmarkEnd w:id="25"/>
    <w:bookmarkEnd w:id="26"/>
    <w:bookmarkStart w:id="32" w:name="三2月26日重要新闻"/>
    <w:p>
      <w:pPr>
        <w:pStyle w:val="Heading2"/>
      </w:pPr>
      <w:r>
        <w:t xml:space="preserve">三、2月26日重要新闻</w:t>
      </w:r>
    </w:p>
    <w:bookmarkStart w:id="27" w:name="监管动态-1"/>
    <w:p>
      <w:pPr>
        <w:pStyle w:val="Heading3"/>
      </w:pPr>
      <w:r>
        <w:t xml:space="preserve">1、监管动态</w:t>
      </w:r>
    </w:p>
    <w:p>
      <w:pPr>
        <w:pStyle w:val="FirstParagraph"/>
      </w:pPr>
      <w:r>
        <w:rPr>
          <w:bCs/>
          <w:b/>
        </w:rPr>
        <w:t xml:space="preserve">1.1 美国OCC拟议稳定币监管新规</w:t>
      </w:r>
      <w:r>
        <w:t xml:space="preserve"> </w:t>
      </w:r>
      <w:r>
        <w:t xml:space="preserve">PANews 2月26日消息，美国货币监理署（OCC）发布拟议规则，拟对其辖区内”允许的支付型稳定币发行人”和外国发行人及部分托管业务设定监管要求；BSA/AML与OFAC制裁相关条款将与财政部另行规则制定。公众意见截止为《联邦公报》刊登后60天。</w:t>
      </w:r>
    </w:p>
    <w:p>
      <w:pPr>
        <w:pStyle w:val="BodyText"/>
      </w:pPr>
      <w:r>
        <w:rPr>
          <w:bCs/>
          <w:b/>
        </w:rPr>
        <w:t xml:space="preserve">1.2 美国虚拟货币资产没收规模超300亿美元</w:t>
      </w:r>
      <w:r>
        <w:t xml:space="preserve"> </w:t>
      </w:r>
      <w:r>
        <w:t xml:space="preserve">PANews 2月26日消息，据不完全统计，2022-2025年美国各类案件累计没收虚拟货币资产超300亿美元，其中陈志案单案约150亿美元；币安及赵长鹏通过”民事+刑事”程序被追缴及罚款43.5亿美元；Garantex则因涉制裁规避遭全链条打击。</w:t>
      </w:r>
    </w:p>
    <w:p>
      <w:r>
        <w:pict>
          <v:rect style="width:0;height:1.5pt" o:hralign="center" o:hrstd="t" o:hr="t"/>
        </w:pict>
      </w:r>
    </w:p>
    <w:bookmarkEnd w:id="27"/>
    <w:bookmarkStart w:id="28" w:name="机构动态-1"/>
    <w:p>
      <w:pPr>
        <w:pStyle w:val="Heading3"/>
      </w:pPr>
      <w:r>
        <w:t xml:space="preserve">2、机构动态</w:t>
      </w:r>
    </w:p>
    <w:p>
      <w:pPr>
        <w:pStyle w:val="FirstParagraph"/>
      </w:pPr>
      <w:r>
        <w:rPr>
          <w:bCs/>
          <w:b/>
        </w:rPr>
        <w:t xml:space="preserve">2.1 Vitalik Buterin持续减持ETH</w:t>
      </w:r>
      <w:r>
        <w:t xml:space="preserve"> </w:t>
      </w:r>
      <w:r>
        <w:t xml:space="preserve">PANews 2月26日消息，据Onchain Lens报道，Vitalik Buterin近期已累计出售16,420枚ETH，套现约3,284万美元，成交均价约2,000美元。该操作被称与以太坊基金会提出的”温和紧缩”（mild austerity）战略一致，资金将用于加强安全、隐私、核心研发以及以太坊生态长期可持续性相关支出。</w:t>
      </w:r>
    </w:p>
    <w:p>
      <w:pPr>
        <w:pStyle w:val="BodyText"/>
      </w:pPr>
      <w:r>
        <w:rPr>
          <w:bCs/>
          <w:b/>
        </w:rPr>
        <w:t xml:space="preserve">2.2 ETHZilla更名为Forum，转型现金流型代币化资产</w:t>
      </w:r>
      <w:r>
        <w:t xml:space="preserve"> </w:t>
      </w:r>
      <w:r>
        <w:t xml:space="preserve">PANews 2月26日消息，据The Block报道，ETHZilla股价周二一度涨逾13%至约3.91美元，该公司正式更名为Forum，进一步从单一ETH囤币策略转向现金流型代币化资产。资料显示，ETHZilla此前多次减持ETH：去年10月出售约4,000万美元用于回购股票，12月再出售24,291枚ETH（约7,450万美元）以赎回可转债。本月公司以约470万美元收购95笔制造房屋及模块化房屋贷款组合，计划在以太坊Layer 2上代币化，目标年化收益率超10%。</w:t>
      </w:r>
    </w:p>
    <w:p>
      <w:pPr>
        <w:pStyle w:val="BodyText"/>
      </w:pPr>
      <w:r>
        <w:rPr>
          <w:bCs/>
          <w:b/>
        </w:rPr>
        <w:t xml:space="preserve">2.3 Hut 8披露2025年净亏损2.48亿美元</w:t>
      </w:r>
      <w:r>
        <w:t xml:space="preserve"> </w:t>
      </w:r>
      <w:r>
        <w:t xml:space="preserve">PANews 2月26日消息，据The Block报道，Hut 8披露2025年净亏损2.48亿美元，相比2024年净利润3.314亿美元大幅转负，主要因约2.2亿美元未实现数字资产亏损冲销前一年大额浮盈。四季度营收8,850万美元，但受约4.019亿美元未实现数字资产亏损影响，季度净亏损3.018亿美元。</w:t>
      </w:r>
    </w:p>
    <w:p>
      <w:pPr>
        <w:pStyle w:val="BodyText"/>
      </w:pPr>
      <w:r>
        <w:rPr>
          <w:bCs/>
          <w:b/>
        </w:rPr>
        <w:t xml:space="preserve">2.4 CEA Industries股价暴跌95%</w:t>
      </w:r>
      <w:r>
        <w:t xml:space="preserve"> </w:t>
      </w:r>
      <w:r>
        <w:t xml:space="preserve">PANews 2月26日消息，据Protos报道，全球最大BNB金库公司CEA Industries股价自去年高点以来暴跌95%，公司将原因指向Binance创始人CZ家族办公室YZi Labs与10X Capital Asset Management之间的”秘密附带协议”。该交易时公司股价曾触及82.88美元高位，目前已跌至3.88美元。</w:t>
      </w:r>
    </w:p>
    <w:p>
      <w:pPr>
        <w:pStyle w:val="BodyText"/>
      </w:pPr>
      <w:r>
        <w:rPr>
          <w:bCs/>
          <w:b/>
        </w:rPr>
        <w:t xml:space="preserve">2.5 Jane Street增持白银ETF</w:t>
      </w:r>
      <w:r>
        <w:t xml:space="preserve"> </w:t>
      </w:r>
      <w:r>
        <w:t xml:space="preserve">PANews 2月26日消息，据zerohedge援引彭博终端数据称，Jane Street在四季度增持约2,060万股白银ETF SLV，创单季增持纪录，并跃升为该基金最大持仓方。</w:t>
      </w:r>
    </w:p>
    <w:p>
      <w:r>
        <w:pict>
          <v:rect style="width:0;height:1.5pt" o:hralign="center" o:hrstd="t" o:hr="t"/>
        </w:pict>
      </w:r>
    </w:p>
    <w:bookmarkEnd w:id="28"/>
    <w:bookmarkStart w:id="29" w:name="交易所项目动态-1"/>
    <w:p>
      <w:pPr>
        <w:pStyle w:val="Heading3"/>
      </w:pPr>
      <w:r>
        <w:t xml:space="preserve">3、交易所/项目动态</w:t>
      </w:r>
    </w:p>
    <w:p>
      <w:pPr>
        <w:pStyle w:val="FirstParagraph"/>
      </w:pPr>
      <w:r>
        <w:rPr>
          <w:bCs/>
          <w:b/>
        </w:rPr>
        <w:t xml:space="preserve">3.1 交易所上线动态</w:t>
      </w:r>
      <w:r>
        <w:t xml:space="preserve"> </w:t>
      </w:r>
      <w:r>
        <w:t xml:space="preserve">PANews 2月26日消息：</w:t>
      </w:r>
      <w:r>
        <w:t xml:space="preserve"> </w:t>
      </w:r>
      <w:r>
        <w:t xml:space="preserve">- 韩国加密交易所Bithumb将上线以太坊网络代币ETH Gas (GWEI)的韩元交易对</w:t>
      </w:r>
      <w:r>
        <w:t xml:space="preserve"> </w:t>
      </w:r>
      <w:r>
        <w:t xml:space="preserve">- Upbit将上线Centifuge代币CFG，支持KRW、BTC及USDT交易对，网络为Ethereum</w:t>
      </w:r>
      <w:r>
        <w:t xml:space="preserve"> </w:t>
      </w:r>
      <w:r>
        <w:t xml:space="preserve">- Binance Alpha将于2月27日上线Fabric Protocol (ROBO)</w:t>
      </w:r>
    </w:p>
    <w:p>
      <w:pPr>
        <w:pStyle w:val="BodyText"/>
      </w:pPr>
      <w:r>
        <w:rPr>
          <w:bCs/>
          <w:b/>
        </w:rPr>
        <w:t xml:space="preserve">3.2 MetaMask Perps新功能</w:t>
      </w:r>
      <w:r>
        <w:t xml:space="preserve"> </w:t>
      </w:r>
      <w:r>
        <w:t xml:space="preserve">PANews 2月26日消息，MetaMask Perps现已支持用户直接使用钱包中任意代币作为抵押，在Hyperliquid上开立多头或空头合约头寸。</w:t>
      </w:r>
    </w:p>
    <w:p>
      <w:pPr>
        <w:pStyle w:val="BodyText"/>
      </w:pPr>
      <w:r>
        <w:rPr>
          <w:bCs/>
          <w:b/>
        </w:rPr>
        <w:t xml:space="preserve">3.3 Lighter LLP Strategies首次实战测试</w:t>
      </w:r>
      <w:r>
        <w:t xml:space="preserve"> </w:t>
      </w:r>
      <w:r>
        <w:t xml:space="preserve">PANews 2月26日消息，Lighter宣布在近期一次ARC永续合约大额多头爆仓中完成LLP Strategies的首次实战测试。一名交易者在ARC建立超大多头头寸，整体未平仓合约规模达5,000万USDC。最终该大户亏损约820万USDC，LLP损失被限定在7.5万USDC，做空方获利。</w:t>
      </w:r>
    </w:p>
    <w:p>
      <w:pPr>
        <w:pStyle w:val="BodyText"/>
      </w:pPr>
      <w:r>
        <w:rPr>
          <w:bCs/>
          <w:b/>
        </w:rPr>
        <w:t xml:space="preserve">3.4 WLFI治理质押方案</w:t>
      </w:r>
      <w:r>
        <w:t xml:space="preserve"> </w:t>
      </w:r>
      <w:r>
        <w:t xml:space="preserve">PANews 2月26日消息，WLFI提出治理质押方案：未来解锁状态的WLFI需先质押方可参与治理投票，最低锁定期为180天，投票权按质押数量与剩余锁仓时间的平方根加权，参与治理至少两次的质押者可获约2%年化质押奖励。</w:t>
      </w:r>
    </w:p>
    <w:p>
      <w:r>
        <w:pict>
          <v:rect style="width:0;height:1.5pt" o:hralign="center" o:hrstd="t" o:hr="t"/>
        </w:pict>
      </w:r>
    </w:p>
    <w:bookmarkEnd w:id="29"/>
    <w:bookmarkStart w:id="30" w:name="链上数据-1"/>
    <w:p>
      <w:pPr>
        <w:pStyle w:val="Heading3"/>
      </w:pPr>
      <w:r>
        <w:t xml:space="preserve">4、链上数据</w:t>
      </w:r>
    </w:p>
    <w:p>
      <w:pPr>
        <w:pStyle w:val="FirstParagraph"/>
      </w:pPr>
      <w:r>
        <w:rPr>
          <w:bCs/>
          <w:b/>
        </w:rPr>
        <w:t xml:space="preserve">4.1 ETH巨鲸增持</w:t>
      </w:r>
      <w:r>
        <w:t xml:space="preserve"> </w:t>
      </w:r>
      <w:r>
        <w:t xml:space="preserve">PANews 2月26日消息，据Lookonchain报道，随着ETH价格反弹突破2,000美元，链上巨鲸开始增持。约4小时前，地址”0xAb59”耗资约1,457万美金，以2,079美元价格买入7,008枚ETH。</w:t>
      </w:r>
    </w:p>
    <w:p>
      <w:pPr>
        <w:pStyle w:val="BodyText"/>
      </w:pPr>
      <w:r>
        <w:rPr>
          <w:bCs/>
          <w:b/>
        </w:rPr>
        <w:t xml:space="preserve">4.2 Antalpha向Bybit存入XAUT</w:t>
      </w:r>
      <w:r>
        <w:t xml:space="preserve"> </w:t>
      </w:r>
      <w:r>
        <w:t xml:space="preserve">PANews 2月26日消息，据Onchain Lens报道，Antalpha约15小时前向交易所Bybit存入1,000枚XAUT，价值约516万美元，链上动向显示该笔Tether Gold或为后续出售做准备。</w:t>
      </w:r>
    </w:p>
    <w:p>
      <w:r>
        <w:pict>
          <v:rect style="width:0;height:1.5pt" o:hralign="center" o:hrstd="t" o:hr="t"/>
        </w:pict>
      </w:r>
    </w:p>
    <w:bookmarkEnd w:id="30"/>
    <w:bookmarkStart w:id="31" w:name="市场分析-1"/>
    <w:p>
      <w:pPr>
        <w:pStyle w:val="Heading3"/>
      </w:pPr>
      <w:r>
        <w:t xml:space="preserve">5、市场分析</w:t>
      </w:r>
    </w:p>
    <w:p>
      <w:pPr>
        <w:pStyle w:val="FirstParagraph"/>
      </w:pPr>
      <w:r>
        <w:rPr>
          <w:bCs/>
          <w:b/>
        </w:rPr>
        <w:t xml:space="preserve">5.1 比特币ETF定价机制争议</w:t>
      </w:r>
      <w:r>
        <w:t xml:space="preserve"> </w:t>
      </w:r>
      <w:r>
        <w:t xml:space="preserve">PANews 2月26日消息，据Decrypt报道，比特币近日约10%反弹之际，市场将走势与量化交易公司Jane Street涉及的诉讼联系起来，猜测其卖压模式消失推高价格。分析人士指出，现货比特币ETF的授权参与人（AP）在创设、赎回份额时，可通过期货等衍生品对冲，并在结算期内延迟在现货市场买卖BTC，导致ETF资金流入与现货买盘并非同步。</w:t>
      </w:r>
    </w:p>
    <w:p>
      <w:r>
        <w:pict>
          <v:rect style="width:0;height:1.5pt" o:hralign="center" o:hrstd="t" o:hr="t"/>
        </w:pict>
      </w:r>
    </w:p>
    <w:bookmarkEnd w:id="31"/>
    <w:bookmarkEnd w:id="32"/>
    <w:bookmarkStart w:id="33" w:name="四宏观经济"/>
    <w:p>
      <w:pPr>
        <w:pStyle w:val="Heading2"/>
      </w:pPr>
      <w:r>
        <w:t xml:space="preserve">四、宏观经济</w:t>
      </w:r>
    </w:p>
    <w:p>
      <w:pPr>
        <w:pStyle w:val="FirstParagraph"/>
      </w:pPr>
      <w:r>
        <w:rPr>
          <w:bCs/>
          <w:b/>
        </w:rPr>
        <w:t xml:space="preserve">全球债务规模创新高</w:t>
      </w:r>
      <w:r>
        <w:t xml:space="preserve"> </w:t>
      </w:r>
      <w:r>
        <w:t xml:space="preserve">PANews 2月26日消息，据财联社报道，国际金融协会（IIF）最新数据显示，全球债务规模在2025年底升至约348万亿美元，较上一年增加近29万亿美元，为疫情初期以来最快年度增速，其中政府债务增加逾10万亿美元。全球债务占GDP比重约为308%，新兴市场债务率升至逾235%的新高。IIF预计，2026年新兴市场和成熟市场需分别偿还约9万亿和逾20万亿美元债务。</w:t>
      </w:r>
    </w:p>
    <w:p>
      <w:r>
        <w:pict>
          <v:rect style="width:0;height:1.5pt" o:hralign="center" o:hrstd="t" o:hr="t"/>
        </w:pict>
      </w:r>
    </w:p>
    <w:bookmarkEnd w:id="33"/>
    <w:bookmarkStart w:id="37" w:name="五个人交易笔记"/>
    <w:p>
      <w:pPr>
        <w:pStyle w:val="Heading2"/>
      </w:pPr>
      <w:r>
        <w:t xml:space="preserve">五、个人交易笔记</w:t>
      </w:r>
    </w:p>
    <w:bookmarkStart w:id="34" w:name="市场观察"/>
    <w:p>
      <w:pPr>
        <w:pStyle w:val="Heading3"/>
      </w:pPr>
      <w:r>
        <w:t xml:space="preserve">市场观察</w:t>
      </w:r>
    </w:p>
    <w:p>
      <w:pPr>
        <w:numPr>
          <w:ilvl w:val="0"/>
          <w:numId w:val="1001"/>
        </w:numPr>
        <w:pStyle w:val="Compact"/>
      </w:pPr>
      <w:r>
        <w:rPr>
          <w:bCs/>
          <w:b/>
        </w:rPr>
        <w:t xml:space="preserve">剧烈波动</w:t>
      </w:r>
      <w:r>
        <w:t xml:space="preserve">：25日大跌后26日强势反弹，市场情绪切换迅速</w:t>
      </w:r>
    </w:p>
    <w:p>
      <w:pPr>
        <w:numPr>
          <w:ilvl w:val="0"/>
          <w:numId w:val="1001"/>
        </w:numPr>
        <w:pStyle w:val="Compact"/>
      </w:pPr>
      <w:r>
        <w:rPr>
          <w:bCs/>
          <w:b/>
        </w:rPr>
        <w:t xml:space="preserve">ETH表现强势</w:t>
      </w:r>
      <w:r>
        <w:t xml:space="preserve">：26日涨幅7.23%领先大盘，巨鲸开始增持</w:t>
      </w:r>
    </w:p>
    <w:p>
      <w:pPr>
        <w:numPr>
          <w:ilvl w:val="0"/>
          <w:numId w:val="1001"/>
        </w:numPr>
        <w:pStyle w:val="Compact"/>
      </w:pPr>
      <w:r>
        <w:rPr>
          <w:bCs/>
          <w:b/>
        </w:rPr>
        <w:t xml:space="preserve">Strategy巨亏</w:t>
      </w:r>
      <w:r>
        <w:t xml:space="preserve">：持仓BTC浮亏约70亿美元，成为全美做空额最高股票</w:t>
      </w:r>
    </w:p>
    <w:p>
      <w:pPr>
        <w:numPr>
          <w:ilvl w:val="0"/>
          <w:numId w:val="1001"/>
        </w:numPr>
        <w:pStyle w:val="Compact"/>
      </w:pPr>
      <w:r>
        <w:rPr>
          <w:bCs/>
          <w:b/>
        </w:rPr>
        <w:t xml:space="preserve">监管加速</w:t>
      </w:r>
      <w:r>
        <w:t xml:space="preserve">：香港3月发首批稳定币牌照，美国OCC新规出台</w:t>
      </w:r>
    </w:p>
    <w:p>
      <w:pPr>
        <w:numPr>
          <w:ilvl w:val="0"/>
          <w:numId w:val="1001"/>
        </w:numPr>
        <w:pStyle w:val="Compact"/>
      </w:pPr>
      <w:r>
        <w:rPr>
          <w:bCs/>
          <w:b/>
        </w:rPr>
        <w:t xml:space="preserve">机构转型</w:t>
      </w:r>
      <w:r>
        <w:t xml:space="preserve">：传统机构加速布局代币化资产和稳定币业务</w:t>
      </w:r>
    </w:p>
    <w:bookmarkEnd w:id="34"/>
    <w:bookmarkStart w:id="35" w:name="重点关注"/>
    <w:p>
      <w:pPr>
        <w:pStyle w:val="Heading3"/>
      </w:pPr>
      <w:r>
        <w:t xml:space="preserve">重点关注</w:t>
      </w:r>
    </w:p>
    <w:p>
      <w:pPr>
        <w:numPr>
          <w:ilvl w:val="0"/>
          <w:numId w:val="1002"/>
        </w:numPr>
        <w:pStyle w:val="Compact"/>
      </w:pPr>
      <w:r>
        <w:t xml:space="preserve">☐ 香港3月稳定币牌照发放进展</w:t>
      </w:r>
    </w:p>
    <w:p>
      <w:pPr>
        <w:numPr>
          <w:ilvl w:val="0"/>
          <w:numId w:val="1002"/>
        </w:numPr>
        <w:pStyle w:val="Compact"/>
      </w:pPr>
      <w:r>
        <w:t xml:space="preserve">☐ Strategy持仓风险及对市场的影响</w:t>
      </w:r>
    </w:p>
    <w:p>
      <w:pPr>
        <w:numPr>
          <w:ilvl w:val="0"/>
          <w:numId w:val="1002"/>
        </w:numPr>
        <w:pStyle w:val="Compact"/>
      </w:pPr>
      <w:r>
        <w:t xml:space="preserve">☐ $60,000支撑位能否守住</w:t>
      </w:r>
    </w:p>
    <w:p>
      <w:pPr>
        <w:numPr>
          <w:ilvl w:val="0"/>
          <w:numId w:val="1002"/>
        </w:numPr>
        <w:pStyle w:val="Compact"/>
      </w:pPr>
      <w:r>
        <w:t xml:space="preserve">☐ ETH合约持仓量攀升带来的杠杆风险</w:t>
      </w:r>
    </w:p>
    <w:p>
      <w:pPr>
        <w:numPr>
          <w:ilvl w:val="0"/>
          <w:numId w:val="1002"/>
        </w:numPr>
        <w:pStyle w:val="Compact"/>
      </w:pPr>
      <w:r>
        <w:t xml:space="preserve">☐ Meta稳定币业务重启进展</w:t>
      </w:r>
    </w:p>
    <w:bookmarkEnd w:id="35"/>
    <w:bookmarkStart w:id="36" w:name="操作思路"/>
    <w:p>
      <w:pPr>
        <w:pStyle w:val="Heading3"/>
      </w:pPr>
      <w:r>
        <w:t xml:space="preserve">操作思路</w:t>
      </w:r>
    </w:p>
    <w:p>
      <w:pPr>
        <w:pStyle w:val="FirstParagraph"/>
      </w:pPr>
      <w:r>
        <w:t xml:space="preserve">（此处根据个人实际持仓填写）</w:t>
      </w:r>
    </w:p>
    <w:p>
      <w:r>
        <w:pict>
          <v:rect style="width:0;height:1.5pt" o:hralign="center" o:hrstd="t" o:hr="t"/>
        </w:pict>
      </w:r>
    </w:p>
    <w:p>
      <w:pPr>
        <w:pStyle w:val="FirstParagraph"/>
      </w:pPr>
      <w:r>
        <w:rPr>
          <w:iCs/>
          <w:i/>
        </w:rPr>
        <w:t xml:space="preserve">数据来源：PANews、SoSoValue、Onchain Lens、Lookonchain、Glassnode、Coinbase等</w:t>
      </w:r>
      <w:r>
        <w:t xml:space="preserve"> </w:t>
      </w:r>
      <w:r>
        <w:rPr>
          <w:iCs/>
          <w:i/>
        </w:rPr>
        <w:t xml:space="preserve">报告时间：2026年2月26日</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2026-02-26T05:44:16Z</dcterms:created>
  <dcterms:modified xsi:type="dcterms:W3CDTF">2026-02-26T05:44:16Z</dcterms:modified>
</cp:coreProperties>
</file>

<file path=docProps/custom.xml><?xml version="1.0" encoding="utf-8"?>
<Properties xmlns="http://schemas.openxmlformats.org/officeDocument/2006/custom-properties" xmlns:vt="http://schemas.openxmlformats.org/officeDocument/2006/docPropsVTypes"/>
</file>