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今日币圈资讯及个人交易笔记-2026.02.26"/>
    <w:p>
      <w:pPr>
        <w:pStyle w:val="Heading1"/>
      </w:pPr>
      <w:r>
        <w:t xml:space="preserve">今日币圈资讯及个人交易笔记-2026.02.26</w:t>
      </w:r>
    </w:p>
    <w:p>
      <w:r>
        <w:pict>
          <v:rect style="width:0;height:1.5pt" o:hralign="center" o:hrstd="t" o:hr="t"/>
        </w:pict>
      </w:r>
    </w:p>
    <w:bookmarkStart w:id="22" w:name="一市场概览"/>
    <w:p>
      <w:pPr>
        <w:pStyle w:val="Heading2"/>
      </w:pPr>
      <w:r>
        <w:t xml:space="preserve">一、市场概览</w:t>
      </w:r>
    </w:p>
    <w:bookmarkStart w:id="20" w:name="大盘行情"/>
    <w:p>
      <w:pPr>
        <w:pStyle w:val="Heading3"/>
      </w:pPr>
      <w:r>
        <w:t xml:space="preserve">1. 大盘行情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24h涨幅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盘中一度逼近$70,000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重返$2,000上方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强势反弹</w:t>
            </w:r>
          </w:p>
        </w:tc>
      </w:tr>
    </w:tbl>
    <w:p>
      <w:pPr>
        <w:pStyle w:val="BodyText"/>
      </w:pPr>
      <w:r>
        <w:rPr>
          <w:bCs/>
          <w:b/>
        </w:rPr>
        <w:t xml:space="preserve">市场情绪</w:t>
      </w:r>
      <w:r>
        <w:t xml:space="preserve">：Circle 2025年Q4业绩全面超预期，提振加密板块整体上涨，24小时涨幅普遍达2%-7%。</w:t>
      </w:r>
    </w:p>
    <w:bookmarkEnd w:id="20"/>
    <w:bookmarkStart w:id="21" w:name="关键数据"/>
    <w:p>
      <w:pPr>
        <w:pStyle w:val="Heading3"/>
      </w:pPr>
      <w:r>
        <w:t xml:space="preserve">2. 关键数据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ETH全网合约持仓量</w:t>
      </w:r>
      <w:r>
        <w:t xml:space="preserve">：过去24小时增加11.45%，当前总持仓量264.61亿美元</w:t>
      </w:r>
    </w:p>
    <w:p>
      <w:pPr>
        <w:numPr>
          <w:ilvl w:val="1"/>
          <w:numId w:val="1002"/>
        </w:numPr>
        <w:pStyle w:val="Compact"/>
      </w:pPr>
      <w:r>
        <w:t xml:space="preserve">Binance持仓量：54.28亿美元</w:t>
      </w:r>
    </w:p>
    <w:p>
      <w:pPr>
        <w:numPr>
          <w:ilvl w:val="1"/>
          <w:numId w:val="1002"/>
        </w:numPr>
        <w:pStyle w:val="Compact"/>
      </w:pPr>
      <w:r>
        <w:t xml:space="preserve">CME持仓量：38.35亿美元</w:t>
      </w:r>
    </w:p>
    <w:p>
      <w:pPr>
        <w:numPr>
          <w:ilvl w:val="1"/>
          <w:numId w:val="1002"/>
        </w:numPr>
        <w:pStyle w:val="Compact"/>
      </w:pPr>
      <w:r>
        <w:t xml:space="preserve">Gate持仓量：28.83亿美元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二重要新闻"/>
    <w:p>
      <w:pPr>
        <w:pStyle w:val="Heading2"/>
      </w:pPr>
      <w:r>
        <w:t xml:space="preserve">二、重要新闻</w:t>
      </w:r>
    </w:p>
    <w:bookmarkStart w:id="23" w:name="监管动态"/>
    <w:p>
      <w:pPr>
        <w:pStyle w:val="Heading3"/>
      </w:pPr>
      <w:r>
        <w:t xml:space="preserve">🔴 监管动态</w:t>
      </w:r>
    </w:p>
    <w:p>
      <w:pPr>
        <w:pStyle w:val="FirstParagraph"/>
      </w:pPr>
      <w:r>
        <w:rPr>
          <w:bCs/>
          <w:b/>
        </w:rPr>
        <w:t xml:space="preserve">1. 美国OCC拟议稳定币监管新规</w:t>
      </w:r>
      <w:r>
        <w:t xml:space="preserve"> </w:t>
      </w:r>
      <w:r>
        <w:t xml:space="preserve">- 美国货币监理署（OCC）发布拟议规则</w:t>
      </w:r>
      <w:r>
        <w:t xml:space="preserve"> </w:t>
      </w:r>
      <w:r>
        <w:t xml:space="preserve">- 对辖区内”允许的支付型稳定币发行人”和外国发行人及部分托管业务设定监管要求</w:t>
      </w:r>
      <w:r>
        <w:t xml:space="preserve"> </w:t>
      </w:r>
      <w:r>
        <w:t xml:space="preserve">- BSA/AML与OFAC制裁相关条款将与财政部另行规则制定</w:t>
      </w:r>
      <w:r>
        <w:t xml:space="preserve"> </w:t>
      </w:r>
      <w:r>
        <w:t xml:space="preserve">- 公众意见截止：《联邦公报》刊登后60天</w:t>
      </w:r>
    </w:p>
    <w:p>
      <w:pPr>
        <w:pStyle w:val="BodyText"/>
      </w:pPr>
      <w:r>
        <w:rPr>
          <w:bCs/>
          <w:b/>
        </w:rPr>
        <w:t xml:space="preserve">2. 美国虚拟货币资产没收规模超300亿美元</w:t>
      </w:r>
      <w:r>
        <w:t xml:space="preserve"> </w:t>
      </w:r>
      <w:r>
        <w:t xml:space="preserve">- 2022-2025年美国各类案件累计没收虚拟货币资产超300亿美元</w:t>
      </w:r>
      <w:r>
        <w:t xml:space="preserve"> </w:t>
      </w:r>
      <w:r>
        <w:t xml:space="preserve">- 陈志案单案约150亿美元</w:t>
      </w:r>
      <w:r>
        <w:t xml:space="preserve"> </w:t>
      </w:r>
      <w:r>
        <w:t xml:space="preserve">- 币安及赵长鹏被追缴及罚款43.5亿美元</w:t>
      </w:r>
      <w:r>
        <w:t xml:space="preserve"> </w:t>
      </w:r>
      <w:r>
        <w:t xml:space="preserve">- Garantex因涉制裁规避遭全链条打击</w:t>
      </w:r>
    </w:p>
    <w:p>
      <w:r>
        <w:pict>
          <v:rect style="width:0;height:1.5pt" o:hralign="center" o:hrstd="t" o:hr="t"/>
        </w:pict>
      </w:r>
    </w:p>
    <w:bookmarkEnd w:id="23"/>
    <w:bookmarkStart w:id="24" w:name="机构动态"/>
    <w:p>
      <w:pPr>
        <w:pStyle w:val="Heading3"/>
      </w:pPr>
      <w:r>
        <w:t xml:space="preserve">💼 机构动态</w:t>
      </w:r>
    </w:p>
    <w:p>
      <w:pPr>
        <w:pStyle w:val="FirstParagraph"/>
      </w:pPr>
      <w:r>
        <w:rPr>
          <w:bCs/>
          <w:b/>
        </w:rPr>
        <w:t xml:space="preserve">1. Vitalik Buterin持续减持ETH</w:t>
      </w:r>
      <w:r>
        <w:t xml:space="preserve"> </w:t>
      </w:r>
      <w:r>
        <w:t xml:space="preserve">- 近期已累计出售16,420枚ETH，套现约3,284万美元</w:t>
      </w:r>
      <w:r>
        <w:t xml:space="preserve"> </w:t>
      </w:r>
      <w:r>
        <w:t xml:space="preserve">- 成交均价约2,000美元</w:t>
      </w:r>
      <w:r>
        <w:t xml:space="preserve"> </w:t>
      </w:r>
      <w:r>
        <w:t xml:space="preserve">- 与以太坊基金会”温和紧缩”（mild austerity）战略一致</w:t>
      </w:r>
      <w:r>
        <w:t xml:space="preserve"> </w:t>
      </w:r>
      <w:r>
        <w:t xml:space="preserve">- 资金用于加强安全、隐私、核心研发及生态长期可持续性</w:t>
      </w:r>
    </w:p>
    <w:p>
      <w:pPr>
        <w:pStyle w:val="BodyText"/>
      </w:pPr>
      <w:r>
        <w:rPr>
          <w:bCs/>
          <w:b/>
        </w:rPr>
        <w:t xml:space="preserve">2. ETHZilla更名为Forum，转型现金流型代币化资产</w:t>
      </w:r>
      <w:r>
        <w:t xml:space="preserve"> </w:t>
      </w:r>
      <w:r>
        <w:t xml:space="preserve">- 股价周二涨逾13%至约3.91美元</w:t>
      </w:r>
      <w:r>
        <w:t xml:space="preserve"> </w:t>
      </w:r>
      <w:r>
        <w:t xml:space="preserve">- 从单一ETH囤币策略转向现金流型代币化资产</w:t>
      </w:r>
      <w:r>
        <w:t xml:space="preserve"> </w:t>
      </w:r>
      <w:r>
        <w:t xml:space="preserve">- 计划代币化制造房屋贷款组合，目标年化收益率超10%</w:t>
      </w:r>
      <w:r>
        <w:t xml:space="preserve"> </w:t>
      </w:r>
      <w:r>
        <w:t xml:space="preserve">- 购买两台飞机发动机通过Liquidity.io进行代币化</w:t>
      </w:r>
    </w:p>
    <w:p>
      <w:pPr>
        <w:pStyle w:val="BodyText"/>
      </w:pPr>
      <w:r>
        <w:rPr>
          <w:bCs/>
          <w:b/>
        </w:rPr>
        <w:t xml:space="preserve">3. Hut 8披露2025年净亏损2.48亿美元</w:t>
      </w:r>
      <w:r>
        <w:t xml:space="preserve"> </w:t>
      </w:r>
      <w:r>
        <w:t xml:space="preserve">- 相比2024年净利润3.314亿美元大幅转负</w:t>
      </w:r>
      <w:r>
        <w:t xml:space="preserve"> </w:t>
      </w:r>
      <w:r>
        <w:t xml:space="preserve">- 主要因约2.2亿美元未实现数字资产亏损</w:t>
      </w:r>
      <w:r>
        <w:t xml:space="preserve"> </w:t>
      </w:r>
      <w:r>
        <w:t xml:space="preserve">- 四季度净亏损3.018亿美元（受4.019亿美元未实现亏损影响）</w:t>
      </w:r>
    </w:p>
    <w:p>
      <w:pPr>
        <w:pStyle w:val="BodyText"/>
      </w:pPr>
      <w:r>
        <w:rPr>
          <w:bCs/>
          <w:b/>
        </w:rPr>
        <w:t xml:space="preserve">4. CEA Industries股价暴跌95%</w:t>
      </w:r>
      <w:r>
        <w:t xml:space="preserve"> </w:t>
      </w:r>
      <w:r>
        <w:t xml:space="preserve">- 全球最大BNB金库公司股价自高点暴跌95%</w:t>
      </w:r>
      <w:r>
        <w:t xml:space="preserve"> </w:t>
      </w:r>
      <w:r>
        <w:t xml:space="preserve">- 原因指向Binance创始人CZ家族办公室YZi Labs与10X Capital的”秘密附带协议”</w:t>
      </w:r>
      <w:r>
        <w:t xml:space="preserve"> </w:t>
      </w:r>
      <w:r>
        <w:t xml:space="preserve">- 股价从82.88美元跌至3.88美元</w:t>
      </w:r>
    </w:p>
    <w:p>
      <w:pPr>
        <w:pStyle w:val="BodyText"/>
      </w:pPr>
      <w:r>
        <w:rPr>
          <w:bCs/>
          <w:b/>
        </w:rPr>
        <w:t xml:space="preserve">5. Jane Street增持白银ETF</w:t>
      </w:r>
      <w:r>
        <w:t xml:space="preserve"> </w:t>
      </w:r>
      <w:r>
        <w:t xml:space="preserve">- 四季度增持约2,060万股白银ETF SLV</w:t>
      </w:r>
      <w:r>
        <w:t xml:space="preserve"> </w:t>
      </w:r>
      <w:r>
        <w:t xml:space="preserve">- 创单季增持纪录，跃升为该基金最大持仓方</w:t>
      </w:r>
    </w:p>
    <w:p>
      <w:r>
        <w:pict>
          <v:rect style="width:0;height:1.5pt" o:hralign="center" o:hrstd="t" o:hr="t"/>
        </w:pict>
      </w:r>
    </w:p>
    <w:bookmarkEnd w:id="24"/>
    <w:bookmarkStart w:id="25" w:name="项目交易所动态"/>
    <w:p>
      <w:pPr>
        <w:pStyle w:val="Heading3"/>
      </w:pPr>
      <w:r>
        <w:t xml:space="preserve">🚀 项目/交易所动态</w:t>
      </w:r>
    </w:p>
    <w:p>
      <w:pPr>
        <w:pStyle w:val="FirstParagraph"/>
      </w:pPr>
      <w:r>
        <w:rPr>
          <w:bCs/>
          <w:b/>
        </w:rPr>
        <w:t xml:space="preserve">1. 交易所上线动态</w:t>
      </w:r>
      <w:r>
        <w:t xml:space="preserve"> </w:t>
      </w:r>
      <w:r>
        <w:t xml:space="preserve">| 交易所 | 上线项目 | 交易对 | 网络 |</w:t>
      </w:r>
      <w:r>
        <w:t xml:space="preserve"> </w:t>
      </w:r>
      <w:r>
        <w:t xml:space="preserve">|——–|———-|——–|——|</w:t>
      </w:r>
      <w:r>
        <w:t xml:space="preserve"> </w:t>
      </w:r>
      <w:r>
        <w:t xml:space="preserve">| Bithumb | ETH Gas (GWEI) | 韩元交易对 | 以太坊 |</w:t>
      </w:r>
      <w:r>
        <w:t xml:space="preserve"> </w:t>
      </w:r>
      <w:r>
        <w:t xml:space="preserve">| Upbit | Centifuge (CFG) | KRW/BTC/USDT | 以太坊 |</w:t>
      </w:r>
      <w:r>
        <w:t xml:space="preserve"> </w:t>
      </w:r>
      <w:r>
        <w:t xml:space="preserve">| Binance Alpha | Fabric Protocol (ROBO) | - | 2月27日上线 |</w:t>
      </w:r>
    </w:p>
    <w:p>
      <w:pPr>
        <w:pStyle w:val="BodyText"/>
      </w:pPr>
      <w:r>
        <w:rPr>
          <w:bCs/>
          <w:b/>
        </w:rPr>
        <w:t xml:space="preserve">2. MetaMask Perps新功能</w:t>
      </w:r>
      <w:r>
        <w:t xml:space="preserve"> </w:t>
      </w:r>
      <w:r>
        <w:t xml:space="preserve">- 现已支持用户直接使用钱包中任意代币作为抵押</w:t>
      </w:r>
      <w:r>
        <w:t xml:space="preserve"> </w:t>
      </w:r>
      <w:r>
        <w:t xml:space="preserve">- 在Hyperliquid上开立多头或空头合约头寸</w:t>
      </w:r>
    </w:p>
    <w:p>
      <w:pPr>
        <w:pStyle w:val="BodyText"/>
      </w:pPr>
      <w:r>
        <w:rPr>
          <w:bCs/>
          <w:b/>
        </w:rPr>
        <w:t xml:space="preserve">3. Lighter LLP Strategies首次实战测试</w:t>
      </w:r>
      <w:r>
        <w:t xml:space="preserve"> </w:t>
      </w:r>
      <w:r>
        <w:t xml:space="preserve">- 在近期ARC永续合约大额多头爆仓中完成测试</w:t>
      </w:r>
      <w:r>
        <w:t xml:space="preserve"> </w:t>
      </w:r>
      <w:r>
        <w:t xml:space="preserve">- 大户亏损约820万USDC，LLP损失限定在7.5万USDC</w:t>
      </w:r>
    </w:p>
    <w:p>
      <w:pPr>
        <w:pStyle w:val="BodyText"/>
      </w:pPr>
      <w:r>
        <w:rPr>
          <w:bCs/>
          <w:b/>
        </w:rPr>
        <w:t xml:space="preserve">4. WLFI治理质押方案</w:t>
      </w:r>
      <w:r>
        <w:t xml:space="preserve"> </w:t>
      </w:r>
      <w:r>
        <w:t xml:space="preserve">- 未来解锁状态的WLFI需先质押方可参与治理投票</w:t>
      </w:r>
      <w:r>
        <w:t xml:space="preserve"> </w:t>
      </w:r>
      <w:r>
        <w:t xml:space="preserve">- 最低锁定期：180天</w:t>
      </w:r>
      <w:r>
        <w:t xml:space="preserve"> </w:t>
      </w:r>
      <w:r>
        <w:t xml:space="preserve">- 投票权按质押数量与剩余锁仓时间的平方根加权</w:t>
      </w:r>
      <w:r>
        <w:t xml:space="preserve"> </w:t>
      </w:r>
      <w:r>
        <w:t xml:space="preserve">- 参与治理至少两次的质押者可获约2%年化质押奖励</w:t>
      </w:r>
    </w:p>
    <w:p>
      <w:r>
        <w:pict>
          <v:rect style="width:0;height:1.5pt" o:hralign="center" o:hrstd="t" o:hr="t"/>
        </w:pict>
      </w:r>
    </w:p>
    <w:bookmarkEnd w:id="25"/>
    <w:bookmarkStart w:id="26" w:name="链上数据"/>
    <w:p>
      <w:pPr>
        <w:pStyle w:val="Heading3"/>
      </w:pPr>
      <w:r>
        <w:t xml:space="preserve">🐋 链上数据</w:t>
      </w:r>
    </w:p>
    <w:p>
      <w:pPr>
        <w:pStyle w:val="FirstParagraph"/>
      </w:pPr>
      <w:r>
        <w:rPr>
          <w:bCs/>
          <w:b/>
        </w:rPr>
        <w:t xml:space="preserve">1. ETH巨鲸增持</w:t>
      </w:r>
      <w:r>
        <w:t xml:space="preserve"> </w:t>
      </w:r>
      <w:r>
        <w:t xml:space="preserve">- 随着ETH价格反弹突破$2,000，链上巨鲸开始增持</w:t>
      </w:r>
      <w:r>
        <w:t xml:space="preserve"> </w:t>
      </w:r>
      <w:r>
        <w:t xml:space="preserve">- 地址”0xAb59”耗资约1,457万美元，以$2,079价格买入7,008枚ETH</w:t>
      </w:r>
    </w:p>
    <w:p>
      <w:pPr>
        <w:pStyle w:val="BodyText"/>
      </w:pPr>
      <w:r>
        <w:rPr>
          <w:bCs/>
          <w:b/>
        </w:rPr>
        <w:t xml:space="preserve">2. Antalpha向Bybit存入XAUT</w:t>
      </w:r>
      <w:r>
        <w:t xml:space="preserve"> </w:t>
      </w:r>
      <w:r>
        <w:t xml:space="preserve">- 约15小时前向Bybit存入1,000枚XAUT，价值约516万美元</w:t>
      </w:r>
      <w:r>
        <w:t xml:space="preserve"> </w:t>
      </w:r>
      <w:r>
        <w:t xml:space="preserve">- 链上动向显示或为后续出售做准备</w:t>
      </w:r>
    </w:p>
    <w:p>
      <w:r>
        <w:pict>
          <v:rect style="width:0;height:1.5pt" o:hralign="center" o:hrstd="t" o:hr="t"/>
        </w:pict>
      </w:r>
    </w:p>
    <w:bookmarkEnd w:id="26"/>
    <w:bookmarkStart w:id="27" w:name="市场分析"/>
    <w:p>
      <w:pPr>
        <w:pStyle w:val="Heading3"/>
      </w:pPr>
      <w:r>
        <w:t xml:space="preserve">📊 市场分析</w:t>
      </w:r>
    </w:p>
    <w:p>
      <w:pPr>
        <w:pStyle w:val="FirstParagraph"/>
      </w:pPr>
      <w:r>
        <w:rPr>
          <w:bCs/>
          <w:b/>
        </w:rPr>
        <w:t xml:space="preserve">1. 比特币ETF定价机制争议</w:t>
      </w:r>
      <w:r>
        <w:t xml:space="preserve"> </w:t>
      </w:r>
      <w:r>
        <w:t xml:space="preserve">- 现货比特币ETF的授权参与人（AP）可通过期货等衍生品对冲</w:t>
      </w:r>
      <w:r>
        <w:t xml:space="preserve"> </w:t>
      </w:r>
      <w:r>
        <w:t xml:space="preserve">- 在结算期内延迟在现货市场买卖BTC</w:t>
      </w:r>
      <w:r>
        <w:t xml:space="preserve"> </w:t>
      </w:r>
      <w:r>
        <w:t xml:space="preserve">- 导致ETF资金流入与现货买盘并非同步</w:t>
      </w:r>
      <w:r>
        <w:t xml:space="preserve"> </w:t>
      </w:r>
      <w:r>
        <w:t xml:space="preserve">- 价格发现更多转移至期货市场</w:t>
      </w:r>
    </w:p>
    <w:p>
      <w:pPr>
        <w:pStyle w:val="BodyText"/>
      </w:pPr>
      <w:r>
        <w:rPr>
          <w:bCs/>
          <w:b/>
        </w:rPr>
        <w:t xml:space="preserve">2. Jane Street诉讼与比特币反弹关联</w:t>
      </w:r>
      <w:r>
        <w:t xml:space="preserve"> </w:t>
      </w:r>
      <w:r>
        <w:t xml:space="preserve">- 比特币近日约10%反弹之际，市场猜测Jane Street卖压模式消失推高价格</w:t>
      </w:r>
      <w:r>
        <w:t xml:space="preserve"> </w:t>
      </w:r>
      <w:r>
        <w:t xml:space="preserve">- 分析人士指出量化交易公司行为对市场影响显著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三宏观经济"/>
    <w:p>
      <w:pPr>
        <w:pStyle w:val="Heading2"/>
      </w:pPr>
      <w:r>
        <w:t xml:space="preserve">三、宏观经济</w:t>
      </w:r>
    </w:p>
    <w:bookmarkStart w:id="29" w:name="全球债务规模创新高"/>
    <w:p>
      <w:pPr>
        <w:pStyle w:val="Heading3"/>
      </w:pPr>
      <w:r>
        <w:t xml:space="preserve">全球债务规模创新高</w:t>
      </w:r>
    </w:p>
    <w:p>
      <w:pPr>
        <w:numPr>
          <w:ilvl w:val="0"/>
          <w:numId w:val="1003"/>
        </w:numPr>
        <w:pStyle w:val="Compact"/>
      </w:pPr>
      <w:r>
        <w:t xml:space="preserve">国际金融协会（IIF）数据：全球债务规模在2025年底升至约348万亿美元</w:t>
      </w:r>
    </w:p>
    <w:p>
      <w:pPr>
        <w:numPr>
          <w:ilvl w:val="0"/>
          <w:numId w:val="1003"/>
        </w:numPr>
        <w:pStyle w:val="Compact"/>
      </w:pPr>
      <w:r>
        <w:t xml:space="preserve">较上一年增加近29万亿美元，为疫情初期以来最快年度增速</w:t>
      </w:r>
    </w:p>
    <w:p>
      <w:pPr>
        <w:numPr>
          <w:ilvl w:val="0"/>
          <w:numId w:val="1003"/>
        </w:numPr>
        <w:pStyle w:val="Compact"/>
      </w:pPr>
      <w:r>
        <w:t xml:space="preserve">政府债务增加逾10万亿美元</w:t>
      </w:r>
    </w:p>
    <w:p>
      <w:pPr>
        <w:numPr>
          <w:ilvl w:val="0"/>
          <w:numId w:val="1003"/>
        </w:numPr>
        <w:pStyle w:val="Compact"/>
      </w:pPr>
      <w:r>
        <w:t xml:space="preserve">全球债务占GDP比重约308%</w:t>
      </w:r>
    </w:p>
    <w:p>
      <w:pPr>
        <w:numPr>
          <w:ilvl w:val="0"/>
          <w:numId w:val="1003"/>
        </w:numPr>
        <w:pStyle w:val="Compact"/>
      </w:pPr>
      <w:r>
        <w:t xml:space="preserve">新兴市场债务率升至逾235%新高</w:t>
      </w:r>
    </w:p>
    <w:p>
      <w:pPr>
        <w:numPr>
          <w:ilvl w:val="0"/>
          <w:numId w:val="1003"/>
        </w:numPr>
        <w:pStyle w:val="Compact"/>
      </w:pPr>
      <w:r>
        <w:t xml:space="preserve">2026年新兴市场和成熟市场需分别偿还约9万亿和逾20万亿美元债务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个人交易笔记"/>
    <w:p>
      <w:pPr>
        <w:pStyle w:val="Heading2"/>
      </w:pPr>
      <w:r>
        <w:t xml:space="preserve">四、个人交易笔记</w:t>
      </w:r>
    </w:p>
    <w:bookmarkStart w:id="31" w:name="今日观察"/>
    <w:p>
      <w:pPr>
        <w:pStyle w:val="Heading3"/>
      </w:pPr>
      <w:r>
        <w:t xml:space="preserve">今日观察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ETH强势反弹</w:t>
      </w:r>
      <w:r>
        <w:t xml:space="preserve">：受Circle业绩超预期带动，ETH涨幅领先大盘，重返$2,000上方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巨鲸动向</w:t>
      </w:r>
      <w:r>
        <w:t xml:space="preserve">：链上数据显示大户开始增持ETH，需持续关注资金流向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监管压力</w:t>
      </w:r>
      <w:r>
        <w:t xml:space="preserve">：美国监管持续收紧，稳定币新规即将出台，需留意合规风险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机构转型</w:t>
      </w:r>
      <w:r>
        <w:t xml:space="preserve">：ETHZilla等公司从单纯囤币转向现金流型资产，反映行业成熟化趋势</w:t>
      </w:r>
    </w:p>
    <w:bookmarkEnd w:id="31"/>
    <w:bookmarkStart w:id="32" w:name="重点关注"/>
    <w:p>
      <w:pPr>
        <w:pStyle w:val="Heading3"/>
      </w:pPr>
      <w:r>
        <w:t xml:space="preserve">重点关注</w:t>
      </w:r>
    </w:p>
    <w:p>
      <w:pPr>
        <w:numPr>
          <w:ilvl w:val="0"/>
          <w:numId w:val="1005"/>
        </w:numPr>
        <w:pStyle w:val="Compact"/>
      </w:pPr>
      <w:r>
        <w:t xml:space="preserve">☐ ETH合约持仓量持续攀升，关注杠杆风险</w:t>
      </w:r>
    </w:p>
    <w:p>
      <w:pPr>
        <w:numPr>
          <w:ilvl w:val="0"/>
          <w:numId w:val="1005"/>
        </w:numPr>
        <w:pStyle w:val="Compact"/>
      </w:pPr>
      <w:r>
        <w:t xml:space="preserve">☐ Vitalik持续减持对市场的中长期影响</w:t>
      </w:r>
    </w:p>
    <w:p>
      <w:pPr>
        <w:numPr>
          <w:ilvl w:val="0"/>
          <w:numId w:val="1005"/>
        </w:numPr>
        <w:pStyle w:val="Compact"/>
      </w:pPr>
      <w:r>
        <w:t xml:space="preserve">☐ 美国OCC稳定币新规的后续进展</w:t>
      </w:r>
    </w:p>
    <w:p>
      <w:pPr>
        <w:numPr>
          <w:ilvl w:val="0"/>
          <w:numId w:val="1005"/>
        </w:numPr>
        <w:pStyle w:val="Compact"/>
      </w:pPr>
      <w:r>
        <w:t xml:space="preserve">☐ Jane Street等量化机构对市场流动性的影响</w:t>
      </w:r>
    </w:p>
    <w:bookmarkEnd w:id="32"/>
    <w:bookmarkStart w:id="33" w:name="操作思路"/>
    <w:p>
      <w:pPr>
        <w:pStyle w:val="Heading3"/>
      </w:pPr>
      <w:r>
        <w:t xml:space="preserve">操作思路</w:t>
      </w:r>
    </w:p>
    <w:p>
      <w:pPr>
        <w:pStyle w:val="FirstParagraph"/>
      </w:pPr>
      <w:r>
        <w:t xml:space="preserve">（此处根据个人实际持仓填写）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数据来源：PANews、SoSoValue、Onchain Lens、Lookonchain等</w:t>
      </w:r>
      <w:r>
        <w:t xml:space="preserve"> </w:t>
      </w:r>
      <w:r>
        <w:rPr>
          <w:iCs/>
          <w:i/>
        </w:rPr>
        <w:t xml:space="preserve">报告时间：2026年2月26日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2026-02-26T05:28:45Z</dcterms:created>
  <dcterms:modified xsi:type="dcterms:W3CDTF">2026-02-26T05:28:45Z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