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今日币圈资讯及个人交易笔记-2026.02.26</w:t>
      </w:r>
    </w:p>
    <w:p>
      <w:r>
        <w:t>__________________________________________________</w:t>
      </w:r>
    </w:p>
    <w:p>
      <w:pPr>
        <w:pStyle w:val="Heading1"/>
      </w:pPr>
      <w:r>
        <w:t>一、币圈资讯</w:t>
      </w:r>
    </w:p>
    <w:p>
      <w:r>
        <w:rPr>
          <w:b/>
        </w:rPr>
        <w:t>1. 以太坊现货ETF昨日净流入1.57亿美元，比特币现货ETF净流入5.07亿美元</w:t>
      </w:r>
    </w:p>
    <w:p>
      <w:r>
        <w:t>PANews 2月26日消息，据SoSoValue数据，昨日（美东时间2月25日）以太坊现货ETF总净流入1.57亿美元，富达FETH净流入6,194.49万美元居首；比特币现货ETF总净流入5.07亿美元，贝莱德IBIT净流入2.97亿美元居首。</w:t>
      </w:r>
    </w:p>
    <w:p/>
    <w:p>
      <w:r>
        <w:rPr>
          <w:b/>
        </w:rPr>
        <w:t>2. Circle股价大涨逾35%，2025年全年收入同比增长64%</w:t>
      </w:r>
    </w:p>
    <w:p>
      <w:r>
        <w:t>PANews 2月26日消息，据The Block报道，Circle（CRCL）股价在财报发布后大涨35.47%收于83.33美元。公司披露2025年四季度营收及准备金收益达7.7亿美元，同比增长77%；全年总收入及储备收入27亿美元，同比增长64%；Q4期末USDC流通量达753亿美元，同比增长72%。</w:t>
      </w:r>
    </w:p>
    <w:p/>
    <w:p>
      <w:r>
        <w:rPr>
          <w:b/>
        </w:rPr>
        <w:t>3. 美国印第安纳州通过加密货币监管与投资法案</w:t>
      </w:r>
    </w:p>
    <w:p>
      <w:r>
        <w:t>PANews 2月26日消息，据The Block报道，美国印第安纳州议会通过加密货币监管与投资法案HB 1042，要求多项州管理的退休及储蓄计划必须向参与者提供至少一项加密货币投资选项。法案还禁止对加密活动征收区别于其他金融交易的特别税种，若获签署将于2026年7月1日生效。</w:t>
      </w:r>
    </w:p>
    <w:p/>
    <w:p>
      <w:r>
        <w:rPr>
          <w:b/>
        </w:rPr>
        <w:t>4. 最高法：将打击利用虚拟货币、地下钱庄进行洗钱等关联犯罪</w:t>
      </w:r>
    </w:p>
    <w:p>
      <w:r>
        <w:t>PANews 2月26日消息，最高人民法院刑三庭庭长汪斌表示，下一步法院将打击重点聚焦于利用虚拟货币、地下钱庄进行洗钱等关联犯罪，以及在电诈犯罪过程中实施故意杀人、故意伤害、绑架等暴力犯罪。</w:t>
      </w:r>
    </w:p>
    <w:p/>
    <w:p>
      <w:r>
        <w:rPr>
          <w:b/>
        </w:rPr>
        <w:t>5. 美国OCC就GENIUS法案支付型稳定币监管框架征求意见</w:t>
      </w:r>
    </w:p>
    <w:p>
      <w:r>
        <w:t>PANews 2月26日消息，美国货币监理署（OCC）发布拟议规则，拟对其辖区内允许的支付型稳定币发行人和外国发行人及部分托管业务设定监管要求，公众意见截止为《联邦公报》刊登后60天。</w:t>
      </w:r>
    </w:p>
    <w:p/>
    <w:p>
      <w:r>
        <w:rPr>
          <w:b/>
        </w:rPr>
        <w:t>6. 巨鲸通过ThorChain将BTC兑换为ETH并循环加仓</w:t>
      </w:r>
    </w:p>
    <w:p>
      <w:r>
        <w:t>PANews 2月26日消息，据Onchain Lens报道，一地址为0x2bd的巨鲸昨日通过ThorChain将约240.44枚BTC（约1,570万美元）兑换为8,152枚ETH，今日该地址将ETH存入Aave，循环借出3,600万枚USDT，再以2,083美元价格买入17,283枚ETH，目前合计持有约25,434.5枚ETH（约5,245万美元）。</w:t>
      </w:r>
    </w:p>
    <w:p/>
    <w:p>
      <w:r>
        <w:rPr>
          <w:b/>
        </w:rPr>
        <w:t>7. Aave全平台历史贷款总额突破1万亿美元</w:t>
      </w:r>
    </w:p>
    <w:p>
      <w:r>
        <w:t>PANews 2月26日消息，去中心化借贷协议Aave全平台历史贷款总额已突破1万亿美元，成为DeFi领域首个达成该规模的协议。</w:t>
      </w:r>
    </w:p>
    <w:p/>
    <w:p>
      <w:r>
        <w:rPr>
          <w:b/>
        </w:rPr>
        <w:t>8. OSL集团正式上线企业级合规稳定币USDGO</w:t>
      </w:r>
    </w:p>
    <w:p>
      <w:r>
        <w:t>PANews 2月26日消息，OSL集团（863.HK）宣布旗下香港首家持牌数字资产交易所OSL HK正式上线企业级合规稳定币USDGO，香港专业投资者可通过OTC买卖USDGO。</w:t>
      </w:r>
    </w:p>
    <w:p/>
    <w:p>
      <w:r>
        <w:rPr>
          <w:b/>
        </w:rPr>
        <w:t>9. 黄仁勋：AI助手不会取代软件工具，而是会使用它们</w:t>
      </w:r>
    </w:p>
    <w:p>
      <w:r>
        <w:t>PANews 2月26日消息，英伟达CEO黄仁勋表示，市场误判了AI对软件公司的威胁，AI助手不会取代这些软件工具，而是会反过来使用它们。英伟达Q4营收681亿美元、数据中心业务营收623亿美元，均超出市场预期。</w:t>
      </w:r>
    </w:p>
    <w:p/>
    <w:p>
      <w:r>
        <w:rPr>
          <w:b/>
        </w:rPr>
        <w:t>10. 以太坊基金会发布Strawmap草案路线图锁定五大目标</w:t>
      </w:r>
    </w:p>
    <w:p>
      <w:r>
        <w:t>PANews 2月26日消息，以太坊基金会发布Strawmap技术路线图草案，提出五大目标：秒级终局性快L1、zkEVM实时证明实现L1约10K TPS、DAS实现L2约10M TPS、抗量子密码、L1原生隐私与ShieldedETH转账。</w:t>
      </w:r>
    </w:p>
    <w:p/>
    <w:p>
      <w:pPr>
        <w:pStyle w:val="Heading1"/>
      </w:pPr>
      <w:r>
        <w:t>二、个人交易笔记</w:t>
      </w:r>
    </w:p>
    <w:p>
      <w:r>
        <w:t>（记录当日操作、策略复盘与心得）</w:t>
      </w:r>
    </w:p>
    <w:p/>
    <w:p>
      <w:pPr>
        <w:pStyle w:val="Heading2"/>
      </w:pPr>
      <w:r>
        <w:t>今日操作记录</w:t>
      </w:r>
    </w:p>
    <w:p>
      <w:r>
        <w:t>OK账户：未操作</w:t>
      </w:r>
    </w:p>
    <w:p>
      <w:r>
        <w:t>币安账户：</w:t>
      </w:r>
    </w:p>
    <w:p>
      <w:r>
        <w:t xml:space="preserve">  现货：未操作</w:t>
      </w:r>
    </w:p>
    <w:p>
      <w:r>
        <w:t xml:space="preserve">  期货：未操作</w:t>
      </w:r>
    </w:p>
    <w:p/>
    <w:p>
      <w:pPr>
        <w:pStyle w:val="Heading2"/>
      </w:pPr>
      <w:r>
        <w:t>持仓情况</w:t>
      </w:r>
    </w:p>
    <w:p>
      <w:r>
        <w:t>OK账户：</w:t>
      </w:r>
    </w:p>
    <w:p>
      <w:r>
        <w:t xml:space="preserve">  目前持仓：（待填写）</w:t>
      </w:r>
    </w:p>
    <w:p/>
    <w:p>
      <w:r>
        <w:t>币安账户：</w:t>
      </w:r>
    </w:p>
    <w:p>
      <w:r>
        <w:t xml:space="preserve">  目前持仓：（待填写）</w:t>
      </w:r>
    </w:p>
    <w:p/>
    <w:p>
      <w:pPr>
        <w:pStyle w:val="Heading2"/>
      </w:pPr>
      <w:r>
        <w:t>交易总结-客观分析</w:t>
      </w:r>
    </w:p>
    <w:p>
      <w:r>
        <w:t>BTC：ETF昨日净流入5.07亿美元，机构资金持续流入，价格反弹至68,000美元</w:t>
      </w:r>
    </w:p>
    <w:p>
      <w:r>
        <w:t>ETH：巨鲸持续加仓，ETF净流入1.57亿美元创新高，价格重返2,000美元</w:t>
      </w:r>
    </w:p>
    <w:p>
      <w:r>
        <w:t>ETF：比特币ETF和以太坊ETF均录得大额净流入，机构资金回流迹象明显</w:t>
      </w:r>
    </w:p>
    <w:p>
      <w:r>
        <w:t>监管：美国印第安纳州通过加密货币友好法案，监管环境逐步清晰</w:t>
      </w:r>
    </w:p>
    <w:p/>
    <w:p>
      <w:r>
        <w:t>__________________________________________________</w:t>
      </w:r>
    </w:p>
    <w:p>
      <w:r>
        <w:t>数据来源：PANews、SoSoValue、Onchain Lens、The Block等</w:t>
      </w:r>
    </w:p>
    <w:p>
      <w:r>
        <w:t>报告时间：2026年2月26日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