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今日币圈资讯及个人交易笔记-2026.02.26"/>
    <w:p>
      <w:pPr>
        <w:pStyle w:val="Heading1"/>
      </w:pPr>
      <w:r>
        <w:t xml:space="preserve">今日币圈资讯及个人交易笔记-2026.02.26</w:t>
      </w:r>
    </w:p>
    <w:p>
      <w:r>
        <w:pict>
          <v:rect style="width:0;height:1.5pt" o:hralign="center" o:hrstd="t" o:hr="t"/>
        </w:pict>
      </w:r>
    </w:p>
    <w:bookmarkStart w:id="20" w:name="一市场概览"/>
    <w:p>
      <w:pPr>
        <w:pStyle w:val="Heading2"/>
      </w:pPr>
      <w:r>
        <w:t xml:space="preserve">一、市场概览</w:t>
      </w:r>
    </w:p>
    <w:p>
      <w:pPr>
        <w:pStyle w:val="FirstParagraph"/>
      </w:pPr>
      <w:r>
        <w:rPr>
          <w:bCs/>
          <w:b/>
        </w:rPr>
        <w:t xml:space="preserve">大盘行情</w:t>
      </w:r>
      <w:r>
        <w:t xml:space="preserve"> </w:t>
      </w:r>
      <w:r>
        <w:t xml:space="preserve">| 币种 | 24h涨幅 | 价格 | 备注 |</w:t>
      </w:r>
      <w:r>
        <w:t xml:space="preserve"> </w:t>
      </w:r>
      <w:r>
        <w:t xml:space="preserve">|——|———|——|——|</w:t>
      </w:r>
      <w:r>
        <w:t xml:space="preserve"> </w:t>
      </w:r>
      <w:r>
        <w:t xml:space="preserve">| BTC | +3.53% | 突破$68,000 | 盘中一度逼近$70,000 |</w:t>
      </w:r>
      <w:r>
        <w:t xml:space="preserve"> </w:t>
      </w:r>
      <w:r>
        <w:t xml:space="preserve">| ETH | +7.23% | 重返$2,000上方 | 强势反弹 |</w:t>
      </w:r>
    </w:p>
    <w:p>
      <w:pPr>
        <w:pStyle w:val="BodyText"/>
      </w:pPr>
      <w:r>
        <w:rPr>
          <w:bCs/>
          <w:b/>
        </w:rPr>
        <w:t xml:space="preserve">市场情绪</w:t>
      </w:r>
      <w:r>
        <w:t xml:space="preserve">：Circle 2025年Q4业绩全面超预期，提振加密板块整体上涨，24小时涨幅普遍达2%-7%。</w:t>
      </w:r>
    </w:p>
    <w:p>
      <w:pPr>
        <w:pStyle w:val="BodyText"/>
      </w:pPr>
      <w:r>
        <w:rPr>
          <w:bCs/>
          <w:b/>
        </w:rPr>
        <w:t xml:space="preserve">ETH合约持仓量</w:t>
      </w:r>
      <w:r>
        <w:t xml:space="preserve">：过去24小时增加11.45%，当前总持仓量264.61亿美元</w:t>
      </w:r>
    </w:p>
    <w:p>
      <w:r>
        <w:pict>
          <v:rect style="width:0;height:1.5pt" o:hralign="center" o:hrstd="t" o:hr="t"/>
        </w:pict>
      </w:r>
    </w:p>
    <w:bookmarkEnd w:id="20"/>
    <w:bookmarkStart w:id="26" w:name="二今日重要新闻"/>
    <w:p>
      <w:pPr>
        <w:pStyle w:val="Heading2"/>
      </w:pPr>
      <w:r>
        <w:t xml:space="preserve">二、今日重要新闻</w:t>
      </w:r>
    </w:p>
    <w:bookmarkStart w:id="21" w:name="监管动态"/>
    <w:p>
      <w:pPr>
        <w:pStyle w:val="Heading3"/>
      </w:pPr>
      <w:r>
        <w:t xml:space="preserve">1、监管动态</w:t>
      </w:r>
    </w:p>
    <w:p>
      <w:pPr>
        <w:pStyle w:val="FirstParagraph"/>
      </w:pPr>
      <w:r>
        <w:rPr>
          <w:bCs/>
          <w:b/>
        </w:rPr>
        <w:t xml:space="preserve">1.1 美国OCC拟议稳定币监管新规</w:t>
      </w:r>
      <w:r>
        <w:t xml:space="preserve"> </w:t>
      </w:r>
      <w:r>
        <w:t xml:space="preserve">PANews 2月26日消息，美国货币监理署（OCC）发布拟议规则，拟对其辖区内”允许的支付型稳定币发行人”和外国发行人及部分托管业务设定监管要求；BSA/AML与OFAC制裁相关条款将与财政部另行规则制定。公众意见截止为《联邦公报》刊登后60天。</w:t>
      </w:r>
    </w:p>
    <w:p>
      <w:pPr>
        <w:pStyle w:val="BodyText"/>
      </w:pPr>
      <w:r>
        <w:rPr>
          <w:bCs/>
          <w:b/>
        </w:rPr>
        <w:t xml:space="preserve">1.2 美国虚拟货币资产没收规模超300亿美元</w:t>
      </w:r>
      <w:r>
        <w:t xml:space="preserve"> </w:t>
      </w:r>
      <w:r>
        <w:t xml:space="preserve">PANews 2月26日消息，据不完全统计，2022-2025年美国各类案件累计没收虚拟货币资产超300亿美元，其中陈志案单案约150亿美元；币安及赵长鹏通过”民事+刑事”程序被追缴及罚款43.5亿美元；Garantex则因涉制裁规避遭全链条打击。</w:t>
      </w:r>
    </w:p>
    <w:p>
      <w:r>
        <w:pict>
          <v:rect style="width:0;height:1.5pt" o:hralign="center" o:hrstd="t" o:hr="t"/>
        </w:pict>
      </w:r>
    </w:p>
    <w:bookmarkEnd w:id="21"/>
    <w:bookmarkStart w:id="22" w:name="机构动态"/>
    <w:p>
      <w:pPr>
        <w:pStyle w:val="Heading3"/>
      </w:pPr>
      <w:r>
        <w:t xml:space="preserve">2、机构动态</w:t>
      </w:r>
    </w:p>
    <w:p>
      <w:pPr>
        <w:pStyle w:val="FirstParagraph"/>
      </w:pPr>
      <w:r>
        <w:rPr>
          <w:bCs/>
          <w:b/>
        </w:rPr>
        <w:t xml:space="preserve">2.1 Vitalik Buterin持续减持ETH</w:t>
      </w:r>
      <w:r>
        <w:t xml:space="preserve"> </w:t>
      </w:r>
      <w:r>
        <w:t xml:space="preserve">PANews 2月26日消息，据Onchain Lens报道，Vitalik Buterin近期已累计出售16,420枚ETH，套现约3,284万美元，成交均价约2,000美元，略高于其原先规划的16,384枚ETH抛售规模。该操作被称与以太坊基金会提出的”温和紧缩”（mild austerity）战略一致，资金将用于加强安全、隐私、核心研发以及以太坊生态长期可持续性相关支出。</w:t>
      </w:r>
    </w:p>
    <w:p>
      <w:pPr>
        <w:pStyle w:val="BodyText"/>
      </w:pPr>
      <w:r>
        <w:rPr>
          <w:bCs/>
          <w:b/>
        </w:rPr>
        <w:t xml:space="preserve">2.2 ETHZilla更名为Forum，转型现金流型代币化资产</w:t>
      </w:r>
      <w:r>
        <w:t xml:space="preserve"> </w:t>
      </w:r>
      <w:r>
        <w:t xml:space="preserve">PANews 2月26日消息，据The Block报道，ETHZilla股价周二一度涨逾13%至约3.91美元，该公司正式更名为Forum，进一步从单一ETH囤币策略转向现金流型代币化资产。资料显示，ETHZilla此前多次减持ETH：去年10月出售约4,000万美元用于回购股票，12月再出售24,291枚ETH（约7,450万美元）以赎回可转债。本月公司以约470万美元收购95笔制造房屋及模块化房屋贷款组合，计划在以太坊Layer 2上代币化，目标年化收益率超10%，并购买两台CFM56-7B24飞机发动机通过Liquidity.io进行代币化。</w:t>
      </w:r>
    </w:p>
    <w:p>
      <w:pPr>
        <w:pStyle w:val="BodyText"/>
      </w:pPr>
      <w:r>
        <w:rPr>
          <w:bCs/>
          <w:b/>
        </w:rPr>
        <w:t xml:space="preserve">2.3 Hut 8披露2025年净亏损2.48亿美元</w:t>
      </w:r>
      <w:r>
        <w:t xml:space="preserve"> </w:t>
      </w:r>
      <w:r>
        <w:t xml:space="preserve">PANews 2月26日消息，据The Block报道，Hut 8披露2025年净亏损2.48亿美元，相比2024年净利润3.314亿美元大幅转负，主要因约2.2亿美元未实现数字资产亏损冲销前一年大额浮盈。同期营收由1.624亿美元增至2.351亿美元，其中算力业务收入约2.023亿美元，电力与托管服务收入2,320万美元，数字基础设施收入960万美元。四季度营收8,850万美元，但受约4.019亿美元未实现数字资产亏损影响，季度净亏损3.018亿美元。公司调整后EBITDA全年为负1.354亿美元。</w:t>
      </w:r>
    </w:p>
    <w:p>
      <w:pPr>
        <w:pStyle w:val="BodyText"/>
      </w:pPr>
      <w:r>
        <w:rPr>
          <w:bCs/>
          <w:b/>
        </w:rPr>
        <w:t xml:space="preserve">2.4 CEA Industries股价暴跌95%</w:t>
      </w:r>
      <w:r>
        <w:t xml:space="preserve"> </w:t>
      </w:r>
      <w:r>
        <w:t xml:space="preserve">PANews 2月26日消息，据Protos报道，全球最大BNB金库公司CEA Industries股价自去年高点以来暴跌95%，公司将原因指向Binance创始人CZ家族办公室YZi Labs与10X Capital Asset Management之间的”秘密附带协议”。CEA要求YZi Labs披露与其在2025年7月PIPE交易中的保密条款。该交易时公司股价曾触及82.88美元高位，目前已跌至3.88美元。</w:t>
      </w:r>
    </w:p>
    <w:p>
      <w:pPr>
        <w:pStyle w:val="BodyText"/>
      </w:pPr>
      <w:r>
        <w:rPr>
          <w:bCs/>
          <w:b/>
        </w:rPr>
        <w:t xml:space="preserve">2.5 Jane Street增持白银ETF</w:t>
      </w:r>
      <w:r>
        <w:t xml:space="preserve"> </w:t>
      </w:r>
      <w:r>
        <w:t xml:space="preserve">PANews 2月26日消息，据zerohedge援引彭博终端数据称，Jane Street在四季度增持约2,060万股白银ETF SLV，创单季增持纪录，并跃升为该基金最大持仓方。</w:t>
      </w:r>
    </w:p>
    <w:p>
      <w:r>
        <w:pict>
          <v:rect style="width:0;height:1.5pt" o:hralign="center" o:hrstd="t" o:hr="t"/>
        </w:pict>
      </w:r>
    </w:p>
    <w:bookmarkEnd w:id="22"/>
    <w:bookmarkStart w:id="23" w:name="交易所项目动态"/>
    <w:p>
      <w:pPr>
        <w:pStyle w:val="Heading3"/>
      </w:pPr>
      <w:r>
        <w:t xml:space="preserve">3、交易所/项目动态</w:t>
      </w:r>
    </w:p>
    <w:p>
      <w:pPr>
        <w:pStyle w:val="FirstParagraph"/>
      </w:pPr>
      <w:r>
        <w:rPr>
          <w:bCs/>
          <w:b/>
        </w:rPr>
        <w:t xml:space="preserve">3.1 交易所上线动态</w:t>
      </w:r>
      <w:r>
        <w:t xml:space="preserve"> </w:t>
      </w:r>
      <w:r>
        <w:t xml:space="preserve">PANews 2月26日消息：</w:t>
      </w:r>
      <w:r>
        <w:t xml:space="preserve"> </w:t>
      </w:r>
      <w:r>
        <w:t xml:space="preserve">- 韩国加密交易所Bithumb将上线以太坊网络代币ETH Gas (GWEI)的韩元交易对</w:t>
      </w:r>
      <w:r>
        <w:t xml:space="preserve"> </w:t>
      </w:r>
      <w:r>
        <w:t xml:space="preserve">- Upbit将上线Centifuge代币CFG，支持KRW、BTC及USDT交易对，网络为Ethereum</w:t>
      </w:r>
      <w:r>
        <w:t xml:space="preserve"> </w:t>
      </w:r>
      <w:r>
        <w:t xml:space="preserve">- Binance Alpha将于2月27日上线Fabric Protocol (ROBO)。届时符合条件的用户可在交易开启后，通过Alpha Events页面使用Binance Alpha Points申领ROBO空投</w:t>
      </w:r>
    </w:p>
    <w:p>
      <w:pPr>
        <w:pStyle w:val="BodyText"/>
      </w:pPr>
      <w:r>
        <w:rPr>
          <w:bCs/>
          <w:b/>
        </w:rPr>
        <w:t xml:space="preserve">3.2 MetaMask Perps新功能</w:t>
      </w:r>
      <w:r>
        <w:t xml:space="preserve"> </w:t>
      </w:r>
      <w:r>
        <w:t xml:space="preserve">PANews 2月26日消息，MetaMask Perps现已支持用户直接使用钱包中任意代币作为抵押，在Hyperliquid上开立多头或空头合约头寸。</w:t>
      </w:r>
    </w:p>
    <w:p>
      <w:pPr>
        <w:pStyle w:val="BodyText"/>
      </w:pPr>
      <w:r>
        <w:rPr>
          <w:bCs/>
          <w:b/>
        </w:rPr>
        <w:t xml:space="preserve">3.3 Lighter LLP Strategies首次实战测试</w:t>
      </w:r>
      <w:r>
        <w:t xml:space="preserve"> </w:t>
      </w:r>
      <w:r>
        <w:t xml:space="preserve">PANews 2月26日消息，Lighter宣布在近期一次ARC永续合约大额多头爆仓中完成LLP Strategies的首次实战测试。一名交易者在ARC建立超大多头头寸，整体未平仓合约规模达5,000万USDC，对手方为约600名交易员和做市商。ARC合约隶属策略7，对应仅7.5万USDC LLP资金可承受ADL风险。随着ARC价格下跌，巨额多头先在订单簿被强平约200万USDC，此后被进一步ADL至LLP，再由健康空头接盘。最终该大户亏损约820万USDC，LLP损失被限定在7.5万USDC，做空方获利。</w:t>
      </w:r>
    </w:p>
    <w:p>
      <w:pPr>
        <w:pStyle w:val="BodyText"/>
      </w:pPr>
      <w:r>
        <w:rPr>
          <w:bCs/>
          <w:b/>
        </w:rPr>
        <w:t xml:space="preserve">3.4 WLFI治理质押方案</w:t>
      </w:r>
      <w:r>
        <w:t xml:space="preserve"> </w:t>
      </w:r>
      <w:r>
        <w:t xml:space="preserve">PANews 2月26日消息，WLFI提出治理质押方案：未来解锁状态的WLFI需先质押方可参与治理投票，最低锁定期为180天，投票权按质押数量与剩余锁仓时间的平方根加权，参与治理至少两次的质押者可获约2%年化质押奖励，奖励来自金库、与收入不挂钩。方案同时引入”Node”（质押门槛为1000万WLFI）与”Super Node”（门槛为5000万WLFI）两级节点：Node可通过合作做市商以1:1完成USDT/USDC等与USD1的场外转换并分享约10-15个基点的套利空间，Super Node则在此基础上获得与团队直接对接、优先商务合作与额外激励资格。</w:t>
      </w:r>
    </w:p>
    <w:p>
      <w:r>
        <w:pict>
          <v:rect style="width:0;height:1.5pt" o:hralign="center" o:hrstd="t" o:hr="t"/>
        </w:pict>
      </w:r>
    </w:p>
    <w:bookmarkEnd w:id="23"/>
    <w:bookmarkStart w:id="24" w:name="链上数据"/>
    <w:p>
      <w:pPr>
        <w:pStyle w:val="Heading3"/>
      </w:pPr>
      <w:r>
        <w:t xml:space="preserve">4、链上数据</w:t>
      </w:r>
    </w:p>
    <w:p>
      <w:pPr>
        <w:pStyle w:val="FirstParagraph"/>
      </w:pPr>
      <w:r>
        <w:rPr>
          <w:bCs/>
          <w:b/>
        </w:rPr>
        <w:t xml:space="preserve">4.1 ETH巨鲸增持</w:t>
      </w:r>
      <w:r>
        <w:t xml:space="preserve"> </w:t>
      </w:r>
      <w:r>
        <w:t xml:space="preserve">PANews 2月26日消息，据Lookonchain报道，随着ETH价格反弹突破2,000美元，链上巨鲸开始增持。约4小时前，地址”0xAb59”耗资约1,457万美金，以2,079美元价格买入7,008枚ETH。</w:t>
      </w:r>
    </w:p>
    <w:p>
      <w:pPr>
        <w:pStyle w:val="BodyText"/>
      </w:pPr>
      <w:r>
        <w:rPr>
          <w:bCs/>
          <w:b/>
        </w:rPr>
        <w:t xml:space="preserve">4.2 Antalpha向Bybit存入XAUT</w:t>
      </w:r>
      <w:r>
        <w:t xml:space="preserve"> </w:t>
      </w:r>
      <w:r>
        <w:t xml:space="preserve">PANews 2月26日消息，据Onchain Lens报道，Antalpha约15小时前向交易所Bybit存入1,000枚XAUT，价值约516万美元，链上动向显示该笔Tether Gold或为后续出售做准备。</w:t>
      </w:r>
    </w:p>
    <w:p>
      <w:r>
        <w:pict>
          <v:rect style="width:0;height:1.5pt" o:hralign="center" o:hrstd="t" o:hr="t"/>
        </w:pict>
      </w:r>
    </w:p>
    <w:bookmarkEnd w:id="24"/>
    <w:bookmarkStart w:id="25" w:name="市场分析"/>
    <w:p>
      <w:pPr>
        <w:pStyle w:val="Heading3"/>
      </w:pPr>
      <w:r>
        <w:t xml:space="preserve">5、市场分析</w:t>
      </w:r>
    </w:p>
    <w:p>
      <w:pPr>
        <w:pStyle w:val="FirstParagraph"/>
      </w:pPr>
      <w:r>
        <w:rPr>
          <w:bCs/>
          <w:b/>
        </w:rPr>
        <w:t xml:space="preserve">5.1 比特币ETF定价机制争议</w:t>
      </w:r>
      <w:r>
        <w:t xml:space="preserve"> </w:t>
      </w:r>
      <w:r>
        <w:t xml:space="preserve">PANews 2月26日消息，据Decrypt报道，比特币近日约10%反弹之际，市场将走势与量化交易公司Jane Street涉及的诉讼联系起来，猜测其卖压模式消失推高价格。分析人士指出，现货比特币ETF的授权参与人（AP）在创设、赎回份额时，可通过期货等衍生品对冲，并在结算期内延迟在现货市场买卖BTC，导致ETF资金流入与现货买盘并非同步。由于比特币期货常处于正向市场，AP倾向用期货对冲并赚取基差收益，使ETF规模膨胀但对现货买盘支撑有限，价格发现更多转移至期货市场。受访机构强调该机制合法且在ETF行业普遍存在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三宏观经济"/>
    <w:p>
      <w:pPr>
        <w:pStyle w:val="Heading2"/>
      </w:pPr>
      <w:r>
        <w:t xml:space="preserve">三、宏观经济</w:t>
      </w:r>
    </w:p>
    <w:p>
      <w:pPr>
        <w:pStyle w:val="FirstParagraph"/>
      </w:pPr>
      <w:r>
        <w:rPr>
          <w:bCs/>
          <w:b/>
        </w:rPr>
        <w:t xml:space="preserve">全球债务规模创新高</w:t>
      </w:r>
      <w:r>
        <w:t xml:space="preserve"> </w:t>
      </w:r>
      <w:r>
        <w:t xml:space="preserve">PANews 2月26日消息，据财联社报道，国际金融协会（IIF）最新数据显示，全球债务规模在2025年底升至约348万亿美元，较上一年增加近29万亿美元，为疫情初期以来最快年度增速，其中政府债务增加逾10万亿美元。报告称，全球债务占GDP比重约为308%，发达经济体略有回落，但新兴市场债务率升至逾235%的新高。当前债务扩张主要由持续财政赤字驱动，主权债务占比上升，使全球资产负债表对利率波动和投资者信心更为敏感。IIF预计，2026年新兴市场和成熟市场需分别偿还约9万亿和逾20万亿美元债务，全球债务压力将维持在高位。</w:t>
      </w:r>
    </w:p>
    <w:p>
      <w:r>
        <w:pict>
          <v:rect style="width:0;height:1.5pt" o:hralign="center" o:hrstd="t" o:hr="t"/>
        </w:pict>
      </w:r>
    </w:p>
    <w:bookmarkEnd w:id="27"/>
    <w:bookmarkStart w:id="31" w:name="四个人交易笔记"/>
    <w:p>
      <w:pPr>
        <w:pStyle w:val="Heading2"/>
      </w:pPr>
      <w:r>
        <w:t xml:space="preserve">四、个人交易笔记</w:t>
      </w:r>
    </w:p>
    <w:bookmarkStart w:id="28" w:name="今日观察"/>
    <w:p>
      <w:pPr>
        <w:pStyle w:val="Heading3"/>
      </w:pPr>
      <w:r>
        <w:t xml:space="preserve">今日观察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ETH强势反弹</w:t>
      </w:r>
      <w:r>
        <w:t xml:space="preserve">：受Circle业绩超预期带动，ETH涨幅领先大盘，重返$2,000上方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巨鲸动向</w:t>
      </w:r>
      <w:r>
        <w:t xml:space="preserve">：链上数据显示大户开始增持ETH，需持续关注资金流向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监管压力</w:t>
      </w:r>
      <w:r>
        <w:t xml:space="preserve">：美国监管持续收紧，稳定币新规即将出台，需留意合规风险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机构转型</w:t>
      </w:r>
      <w:r>
        <w:t xml:space="preserve">：ETHZilla等公司从单纯囤币转向现金流型资产，反映行业成熟化趋势</w:t>
      </w:r>
    </w:p>
    <w:bookmarkEnd w:id="28"/>
    <w:bookmarkStart w:id="29" w:name="重点关注"/>
    <w:p>
      <w:pPr>
        <w:pStyle w:val="Heading3"/>
      </w:pPr>
      <w:r>
        <w:t xml:space="preserve">重点关注</w:t>
      </w:r>
    </w:p>
    <w:p>
      <w:pPr>
        <w:numPr>
          <w:ilvl w:val="0"/>
          <w:numId w:val="1002"/>
        </w:numPr>
        <w:pStyle w:val="Compact"/>
      </w:pPr>
      <w:r>
        <w:t xml:space="preserve">☐ ETH合约持仓量持续攀升，关注杠杆风险</w:t>
      </w:r>
    </w:p>
    <w:p>
      <w:pPr>
        <w:numPr>
          <w:ilvl w:val="0"/>
          <w:numId w:val="1002"/>
        </w:numPr>
        <w:pStyle w:val="Compact"/>
      </w:pPr>
      <w:r>
        <w:t xml:space="preserve">☐ Vitalik持续减持对市场的中长期影响</w:t>
      </w:r>
    </w:p>
    <w:p>
      <w:pPr>
        <w:numPr>
          <w:ilvl w:val="0"/>
          <w:numId w:val="1002"/>
        </w:numPr>
        <w:pStyle w:val="Compact"/>
      </w:pPr>
      <w:r>
        <w:t xml:space="preserve">☐ 美国OCC稳定币新规的后续进展</w:t>
      </w:r>
    </w:p>
    <w:p>
      <w:pPr>
        <w:numPr>
          <w:ilvl w:val="0"/>
          <w:numId w:val="1002"/>
        </w:numPr>
        <w:pStyle w:val="Compact"/>
      </w:pPr>
      <w:r>
        <w:t xml:space="preserve">☐ Jane Street等量化机构对市场流动性的影响</w:t>
      </w:r>
    </w:p>
    <w:bookmarkEnd w:id="29"/>
    <w:bookmarkStart w:id="30" w:name="操作思路"/>
    <w:p>
      <w:pPr>
        <w:pStyle w:val="Heading3"/>
      </w:pPr>
      <w:r>
        <w:t xml:space="preserve">操作思路</w:t>
      </w:r>
    </w:p>
    <w:p>
      <w:pPr>
        <w:pStyle w:val="FirstParagraph"/>
      </w:pPr>
      <w:r>
        <w:t xml:space="preserve">（此处根据个人实际持仓填写）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数据来源：PANews、SoSoValue、Onchain Lens、Lookonchain等</w:t>
      </w:r>
      <w:r>
        <w:t xml:space="preserve"> </w:t>
      </w:r>
      <w:r>
        <w:rPr>
          <w:iCs/>
          <w:i/>
        </w:rPr>
        <w:t xml:space="preserve">报告时间：2026年2月26日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2026-02-26T05:40:21Z</dcterms:created>
  <dcterms:modified xsi:type="dcterms:W3CDTF">2026-02-26T05:40:21Z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