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今日币圈资讯及个人交易笔记-2026.02.26"/>
    <w:p>
      <w:pPr>
        <w:pStyle w:val="Heading1"/>
      </w:pPr>
      <w:r>
        <w:t xml:space="preserve">今日币圈资讯及个人交易笔记-2026.02.26</w:t>
      </w:r>
    </w:p>
    <w:p>
      <w:r>
        <w:pict>
          <v:rect style="width:0;height:1.5pt" o:hralign="center" o:hrstd="t" o:hr="t"/>
        </w:pict>
      </w:r>
    </w:p>
    <w:bookmarkStart w:id="20" w:name="一币圈资讯"/>
    <w:p>
      <w:pPr>
        <w:pStyle w:val="Heading2"/>
      </w:pPr>
      <w:r>
        <w:t xml:space="preserve">一、币圈资讯</w:t>
      </w:r>
    </w:p>
    <w:p>
      <w:pPr>
        <w:pStyle w:val="FirstParagraph"/>
      </w:pPr>
      <w:r>
        <w:rPr>
          <w:bCs/>
          <w:b/>
        </w:rPr>
        <w:t xml:space="preserve">1. 以太坊现货ETF昨日净流入1.57亿美元</w:t>
      </w:r>
      <w:r>
        <w:t xml:space="preserve"> </w:t>
      </w:r>
      <w:r>
        <w:t xml:space="preserve">PANews 2月26日消息，据SoSoValue数据，昨日（美东时间2月25日）以太坊现货ETF总净流入1.57亿美元。昨日单日净流入最多的以太坊现货ETF为富达（Fidelity）ETF FETH，单日净流入为6,194.49万美元，目前FETH历史总净流入达25.24亿美元。其次为灰度（Grayscale）以太坊信托ETF ETHE，单日净流入为3,386.92万美元，目前ETHE历史总净流出达51.54亿美元。</w:t>
      </w:r>
    </w:p>
    <w:p>
      <w:pPr>
        <w:pStyle w:val="BodyText"/>
      </w:pPr>
      <w:r>
        <w:rPr>
          <w:bCs/>
          <w:b/>
        </w:rPr>
        <w:t xml:space="preserve">2. 比特币现货ETF昨日净流入5.07亿美元</w:t>
      </w:r>
      <w:r>
        <w:t xml:space="preserve"> </w:t>
      </w:r>
      <w:r>
        <w:t xml:space="preserve">PANews 2月26日消息，据SoSoValue数据，昨日（美东时间2月25日）比特币现货ETF总净流入5.07亿美元。昨日单日净流入最多的比特币现货ETF为贝莱德(Blackrock）ETF IBIT，单日净流入为2.97亿美元，目前IBIT历史总净流入达615.63亿美元。其次为灰度（Grayscale）ETF GBTC，单日净流入为1.02亿美元，目前GBTC历史总净流出达258.74亿美元。</w:t>
      </w:r>
    </w:p>
    <w:p>
      <w:pPr>
        <w:pStyle w:val="BodyText"/>
      </w:pPr>
      <w:r>
        <w:rPr>
          <w:bCs/>
          <w:b/>
        </w:rPr>
        <w:t xml:space="preserve">3. OSL集团正式上线企业级合规稳定币USDGO</w:t>
      </w:r>
      <w:r>
        <w:t xml:space="preserve"> </w:t>
      </w:r>
      <w:r>
        <w:t xml:space="preserve">PANews 2月26日消息，OSL集团（863.HK）今日宣布，旗下香港首家持牌数字资产交易所OSL HK正式上线企业级合规稳定币USDGO。香港的专业投资者可通过场外交易（OTC）买卖USDGO，现阶段共提供USDGO/USD、USDGO/USDT和USDGO/USDC三个交易对。</w:t>
      </w:r>
    </w:p>
    <w:p>
      <w:pPr>
        <w:pStyle w:val="BodyText"/>
      </w:pPr>
      <w:r>
        <w:rPr>
          <w:bCs/>
          <w:b/>
        </w:rPr>
        <w:t xml:space="preserve">4. Aave全平台历史贷款总额突破1万亿美元</w:t>
      </w:r>
      <w:r>
        <w:t xml:space="preserve"> </w:t>
      </w:r>
      <w:r>
        <w:t xml:space="preserve">PANews 2月26日消息，去中心化借贷协议Aave全平台历史贷款总额已突破1万亿美元，成为DeFi领域首个达成该规模的协议。</w:t>
      </w:r>
    </w:p>
    <w:p>
      <w:pPr>
        <w:pStyle w:val="BodyText"/>
      </w:pPr>
      <w:r>
        <w:rPr>
          <w:bCs/>
          <w:b/>
        </w:rPr>
        <w:t xml:space="preserve">5. 美国印第安纳州通过加密货币监管与投资法案</w:t>
      </w:r>
      <w:r>
        <w:t xml:space="preserve"> </w:t>
      </w:r>
      <w:r>
        <w:t xml:space="preserve">PANews 2月26日消息，据The Block报道，美国印第安纳州议会通过加密货币监管与投资法案HB 1042，正等待州长Mike Braun最终签署。该法案要求多项州管理的退休及储蓄计划必须向参与者提供包含至少一项加密货币投资选项的自主管理券商账户。同时，除金融机构监管部门外，其他公共机构不得限制个人使用加密货币支付合法商品和服务，也不得限制个人使用自托管或硬件钱包持有数字资产。法案还禁止对加密活动征收区别于其他金融交易的特别税种，若获签署，将于2026年7月1日生效。</w:t>
      </w:r>
    </w:p>
    <w:p>
      <w:pPr>
        <w:pStyle w:val="BodyText"/>
      </w:pPr>
      <w:r>
        <w:rPr>
          <w:bCs/>
          <w:b/>
        </w:rPr>
        <w:t xml:space="preserve">6. 巨鲸通过ThorChain将BTC兑换为ETH并循环加仓</w:t>
      </w:r>
      <w:r>
        <w:t xml:space="preserve"> </w:t>
      </w:r>
      <w:r>
        <w:t xml:space="preserve">PANews 2月26日消息，据Onchain Lens报道，一地址为”0x2bd”的巨鲸昨日通过ThorChain将约240.44枚BTC（约1,570万美元）兑换为8,152枚ETH，价格约为0.02945 BTC/ETH。今日该地址将ETH存入Aave，循环借出3,600万枚USDT，再以2,083美元价格买入17,283枚ETH，目前合计持有约25,434.5枚ETH（约5,245万美元）。</w:t>
      </w:r>
    </w:p>
    <w:p>
      <w:pPr>
        <w:pStyle w:val="BodyText"/>
      </w:pPr>
      <w:r>
        <w:rPr>
          <w:bCs/>
          <w:b/>
        </w:rPr>
        <w:t xml:space="preserve">7. 黄仁勋：AI助手不会取代软件工具，而是会使用它们</w:t>
      </w:r>
      <w:r>
        <w:t xml:space="preserve"> </w:t>
      </w:r>
      <w:r>
        <w:t xml:space="preserve">PANews 2月26日消息，对于AI助手将蚕食软件行业的担忧，英伟达CEO黄仁勋反驳称”市场判断失误”。当地时间2月25日，黄仁勋在接受外媒采访时表示，市场误判了AI对软件公司的威胁。他重申了自己的观点，即AI助手不会取代这些软件工具，而是会反过来使用它们，大批软件公司将使用AI助手来开发软件并提高效率。</w:t>
      </w:r>
    </w:p>
    <w:p>
      <w:pPr>
        <w:pStyle w:val="BodyText"/>
      </w:pPr>
      <w:r>
        <w:rPr>
          <w:bCs/>
          <w:b/>
        </w:rPr>
        <w:t xml:space="preserve">8. Upbit将于3月30日终止DENT/BTC交易对</w:t>
      </w:r>
      <w:r>
        <w:t xml:space="preserve"> </w:t>
      </w:r>
      <w:r>
        <w:t xml:space="preserve">PANews 2月26日消息，韩国加密货币交易所Upbit宣布将于2026年3月30日15:00（KST）终止DENT/BTC交易对的交易支持。Upbit称，按其虚拟资产交易支持模范案例进行持续审查后，认为DENT在信息披露、变更程序透明性及项目实质性和可持续性等方面存在多项不足，可能导致用户受损，因此在2月10日将DENT列为交易警示后，最终决定下架。</w:t>
      </w:r>
    </w:p>
    <w:p>
      <w:pPr>
        <w:pStyle w:val="BodyText"/>
      </w:pPr>
      <w:r>
        <w:rPr>
          <w:bCs/>
          <w:b/>
        </w:rPr>
        <w:t xml:space="preserve">9. Solana已在THORChain上线</w:t>
      </w:r>
      <w:r>
        <w:t xml:space="preserve"> </w:t>
      </w:r>
      <w:r>
        <w:t xml:space="preserve">PANews 2月26日消息，THORChain官推发文称，Solana已在THORChain上线，当前为渐进式开放，前端将陆续启用Solana支持；流动池仍在引导阶段，建议先进行小额兑换，待流动性加深后再扩大规模，并称”最大比特币DEX”已连接Solana链上生态。</w:t>
      </w:r>
    </w:p>
    <w:p>
      <w:pPr>
        <w:pStyle w:val="BodyText"/>
      </w:pPr>
      <w:r>
        <w:rPr>
          <w:bCs/>
          <w:b/>
        </w:rPr>
        <w:t xml:space="preserve">10. 最高法：将打击利用虚拟货币进行”洗钱”等关联犯罪</w:t>
      </w:r>
      <w:r>
        <w:t xml:space="preserve"> </w:t>
      </w:r>
      <w:r>
        <w:t xml:space="preserve">PANews 2月26日消息，最高人民法院刑三庭庭长汪斌2月26日在最高法举行的”人民法院依法惩治电信网络诈骗、侵财犯罪工作情况”新闻发布会上表示，下一步，法院将打击重点聚焦于犯罪集团首要分子、骨干成员，电诈”金主”，组织偷渡的”蛇头”，以及在电诈犯罪过程中实施故意杀人、故意伤害、绑架等暴力犯罪和利用虚拟货币、地下钱庄进行”洗钱”等关联犯罪。</w:t>
      </w:r>
    </w:p>
    <w:p>
      <w:r>
        <w:pict>
          <v:rect style="width:0;height:1.5pt" o:hralign="center" o:hrstd="t" o:hr="t"/>
        </w:pict>
      </w:r>
    </w:p>
    <w:bookmarkEnd w:id="20"/>
    <w:bookmarkStart w:id="21" w:name="二个人交易笔记"/>
    <w:p>
      <w:pPr>
        <w:pStyle w:val="Heading2"/>
      </w:pPr>
      <w:r>
        <w:t xml:space="preserve">二、个人交易笔记</w:t>
      </w:r>
    </w:p>
    <w:p>
      <w:pPr>
        <w:pStyle w:val="FirstParagraph"/>
      </w:pPr>
      <w:r>
        <w:t xml:space="preserve">（记录当日操作、策略复盘与心得）</w:t>
      </w:r>
    </w:p>
    <w:p>
      <w:pPr>
        <w:pStyle w:val="BodyText"/>
      </w:pPr>
      <w:r>
        <w:rPr>
          <w:bCs/>
          <w:b/>
        </w:rPr>
        <w:t xml:space="preserve">今日操作记录</w:t>
      </w:r>
    </w:p>
    <w:p>
      <w:pPr>
        <w:pStyle w:val="BodyText"/>
      </w:pPr>
      <w:r>
        <w:t xml:space="preserve">OK账户：未操作</w:t>
      </w:r>
    </w:p>
    <w:p>
      <w:pPr>
        <w:pStyle w:val="BodyText"/>
      </w:pPr>
      <w:r>
        <w:t xml:space="preserve">币安账户：</w:t>
      </w:r>
      <w:r>
        <w:t xml:space="preserve"> </w:t>
      </w:r>
      <w:r>
        <w:t xml:space="preserve">- 现货：未操作</w:t>
      </w:r>
      <w:r>
        <w:t xml:space="preserve"> </w:t>
      </w:r>
      <w:r>
        <w:t xml:space="preserve">- 期货：未操作</w:t>
      </w:r>
    </w:p>
    <w:p>
      <w:pPr>
        <w:pStyle w:val="BodyText"/>
      </w:pPr>
      <w:r>
        <w:rPr>
          <w:bCs/>
          <w:b/>
        </w:rPr>
        <w:t xml:space="preserve">持仓情况</w:t>
      </w:r>
    </w:p>
    <w:p>
      <w:pPr>
        <w:pStyle w:val="BodyText"/>
      </w:pPr>
      <w:r>
        <w:t xml:space="preserve">OK账户：</w:t>
      </w:r>
      <w:r>
        <w:t xml:space="preserve"> </w:t>
      </w:r>
      <w:r>
        <w:t xml:space="preserve">- 目前持仓：（待填写）</w:t>
      </w:r>
    </w:p>
    <w:p>
      <w:pPr>
        <w:pStyle w:val="BodyText"/>
      </w:pPr>
      <w:r>
        <w:t xml:space="preserve">币安账户：</w:t>
      </w:r>
      <w:r>
        <w:t xml:space="preserve"> </w:t>
      </w:r>
      <w:r>
        <w:t xml:space="preserve">- 目前持仓：（待填写）</w:t>
      </w:r>
    </w:p>
    <w:p>
      <w:pPr>
        <w:pStyle w:val="BodyText"/>
      </w:pPr>
      <w:r>
        <w:rPr>
          <w:bCs/>
          <w:b/>
        </w:rPr>
        <w:t xml:space="preserve">交易总结-客观分析</w:t>
      </w:r>
    </w:p>
    <w:p>
      <w:pPr>
        <w:pStyle w:val="BodyText"/>
      </w:pPr>
      <w:r>
        <w:t xml:space="preserve">BTC：ETF持续净流入，市场情绪回暖，关注能否突破7万美元</w:t>
      </w:r>
    </w:p>
    <w:p>
      <w:pPr>
        <w:pStyle w:val="BodyText"/>
      </w:pPr>
      <w:r>
        <w:t xml:space="preserve">ETH：巨鲸持续加仓，ETF净流入创新高，关注2,100美元阻力位</w:t>
      </w:r>
    </w:p>
    <w:p>
      <w:pPr>
        <w:pStyle w:val="BodyText"/>
      </w:pPr>
      <w:r>
        <w:t xml:space="preserve">ETF：比特币ETF昨日净流入5.07亿美元，以太坊ETF净流入1.57亿美元，机构资金持续流入</w:t>
      </w:r>
    </w:p>
    <w:p>
      <w:pPr>
        <w:pStyle w:val="BodyText"/>
      </w:pPr>
      <w:r>
        <w:t xml:space="preserve">监管：美国印第安纳州通过加密货币友好法案，香港OSL上线合规稳定币，监管环境逐步改善</w:t>
      </w:r>
    </w:p>
    <w:p>
      <w:r>
        <w:pict>
          <v:rect style="width:0;height:1.5pt" o:hralign="center" o:hrstd="t" o:hr="t"/>
        </w:pict>
      </w:r>
    </w:p>
    <w:p>
      <w:pPr>
        <w:pStyle w:val="FirstParagraph"/>
      </w:pPr>
      <w:r>
        <w:rPr>
          <w:iCs/>
          <w:i/>
        </w:rPr>
        <w:t xml:space="preserve">数据来源：PANews、SoSoValue、Onchain Lens、The Block等</w:t>
      </w:r>
      <w:r>
        <w:t xml:space="preserve"> </w:t>
      </w:r>
      <w:r>
        <w:rPr>
          <w:iCs/>
          <w:i/>
        </w:rPr>
        <w:t xml:space="preserve">报告时间：2026年2月26日</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2026-02-26T09:11:45Z</dcterms:created>
  <dcterms:modified xsi:type="dcterms:W3CDTF">2026-02-26T09:11:45Z</dcterms:modified>
</cp:coreProperties>
</file>

<file path=docProps/custom.xml><?xml version="1.0" encoding="utf-8"?>
<Properties xmlns="http://schemas.openxmlformats.org/officeDocument/2006/custom-properties" xmlns:vt="http://schemas.openxmlformats.org/officeDocument/2006/docPropsVTypes"/>
</file>