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Hei" w:hAnsi="SimHei" w:eastAsia="SimHei"/>
          <w:b/>
          <w:color w:val="000000"/>
          <w:sz w:val="44"/>
        </w:rPr>
        <w:t>加密货币市场日报</w:t>
      </w:r>
    </w:p>
    <w:p>
      <w:pPr>
        <w:jc w:val="center"/>
      </w:pPr>
      <w:r>
        <w:rPr>
          <w:rFonts w:ascii="SimHei" w:hAnsi="SimHei" w:eastAsia="SimHei"/>
          <w:sz w:val="24"/>
        </w:rPr>
        <w:t>2026年2月26日（PANews新闻汇总）</w:t>
      </w:r>
    </w:p>
    <w:p/>
    <w:p>
      <w:pPr>
        <w:pStyle w:val="Heading1"/>
      </w:pPr>
      <w:r>
        <w:rPr>
          <w:rFonts w:ascii="SimHei" w:hAnsi="SimHei" w:eastAsia="SimHei"/>
          <w:b/>
          <w:sz w:val="28"/>
        </w:rPr>
        <w:t>一、市场概览</w:t>
      </w:r>
    </w:p>
    <w:p>
      <w:r>
        <w:rPr>
          <w:rFonts w:ascii="SimSun" w:hAnsi="SimSun" w:eastAsia="SimSun"/>
          <w:b w:val="0"/>
          <w:sz w:val="21"/>
        </w:rPr>
        <w:t>2026年2月26日，加密货币市场迎来强劲反弹。比特币（BTC）盘中一度涨至7万美元，最终收涨约6%，报68,350美元；以太坊（ETH）表现更为强劲，涨幅超9%，报2,064美元。这是自2025年5月以来比特币第二好的单日表现。</w:t>
        <w:br/>
        <w:br/>
        <w:t>【市场关键指标】</w:t>
        <w:br/>
        <w:t>• 加密货币总市值：约2.42万亿美元</w:t>
        <w:br/>
        <w:t>• 比特币市值：约1.36万亿美元</w:t>
        <w:br/>
        <w:t>• 以太坊市值：约2,480亿美元</w:t>
        <w:br/>
        <w:t>• ETH/BTC比率：0.03</w:t>
        <w:br/>
        <w:t>• DeFi TVL：1,708.2亿美元</w:t>
        <w:br/>
        <w:t>• 恐惧与贪婪指数：11（极度恐惧）</w:t>
        <w:br/>
        <w:t>• 全网24小时爆仓：4.13亿美元（多单1.40亿，空单2.73亿）</w:t>
        <w:br/>
        <w:br/>
        <w:t>【ETF资金流向】</w:t>
        <w:br/>
        <w:t>• 比特币现货ETF：2月25日净流入5.07亿美元（贝莱德IBIT流入2.97亿，灰度GBTC流入1.02亿）</w:t>
        <w:br/>
        <w:t>• 以太坊现货ETF：2月25日净流入1.57亿美元（富达FETH流入6,194万，灰度ETHE流入3,386万）</w:t>
        <w:br/>
        <w:t>• 2026年以来比特币ETF累计净流出约26亿美元，创历史最长连续流出纪录</w:t>
      </w:r>
    </w:p>
    <w:p>
      <w:pPr>
        <w:pStyle w:val="Heading1"/>
      </w:pPr>
      <w:r>
        <w:rPr>
          <w:rFonts w:ascii="SimHei" w:hAnsi="SimHei" w:eastAsia="SimHei"/>
          <w:b/>
          <w:sz w:val="28"/>
        </w:rPr>
        <w:t>二、重要新闻</w:t>
      </w:r>
    </w:p>
    <w:p>
      <w:pPr>
        <w:pStyle w:val="Heading2"/>
      </w:pPr>
      <w:r>
        <w:rPr>
          <w:rFonts w:ascii="SimHei" w:hAnsi="SimHei" w:eastAsia="SimHei"/>
          <w:b/>
          <w:sz w:val="24"/>
        </w:rPr>
        <w:t>1. 监管动态</w:t>
      </w:r>
    </w:p>
    <w:p>
      <w:r>
        <w:rPr>
          <w:rFonts w:ascii="SimSun" w:hAnsi="SimSun" w:eastAsia="SimSun"/>
          <w:b w:val="0"/>
          <w:sz w:val="21"/>
        </w:rPr>
        <w:t>• 美国OCC就GENIUS法案支付型稳定币监管框架征求意见，拟对支付型稳定币发行人设定监管要求，公众意见截止为《联邦公报》刊登后60天。</w:t>
        <w:br/>
        <w:br/>
        <w:t>• 美联储就"移除声誉风险"监管规则征求意见，若提案通过，银行将不得以"声誉风险"为由限制加密企业，有望终结"Operation Chokepoint 2.0"式去银行化现象。</w:t>
        <w:br/>
        <w:br/>
        <w:t>• 美国印第安纳州议会通过加密货币监管与投资法案HB 1042，要求州管理的退休计划必须向参与者提供至少一项加密货币投资选项，待州长签署后将于2026年7月1日生效。</w:t>
        <w:br/>
        <w:br/>
        <w:t>• 韩国议员提议修改《资本市场法》，要求加密货币影响者（Finfluencers）强制披露个人资产持股情况及所获报酬，以提高市场透明度。</w:t>
        <w:br/>
        <w:br/>
        <w:t>• 南非计划修订法规，将加密资产纳入《货币与外汇法》下的资本流动管理框架。</w:t>
        <w:br/>
        <w:br/>
        <w:t>• 美国国会议员提出《2026年区块链创新促进法案》，旨在保护软件开发者免受美国法典第1960条的滥用，明确该条款仅适用于控制客户资金的实体。</w:t>
      </w:r>
    </w:p>
    <w:p>
      <w:pPr>
        <w:pStyle w:val="Heading2"/>
      </w:pPr>
      <w:r>
        <w:rPr>
          <w:rFonts w:ascii="SimHei" w:hAnsi="SimHei" w:eastAsia="SimHei"/>
          <w:b/>
          <w:sz w:val="24"/>
        </w:rPr>
        <w:t>2. 机构动态</w:t>
      </w:r>
    </w:p>
    <w:p>
      <w:r>
        <w:rPr>
          <w:rFonts w:ascii="SimSun" w:hAnsi="SimSun" w:eastAsia="SimSun"/>
          <w:b w:val="0"/>
          <w:sz w:val="21"/>
        </w:rPr>
        <w:t>• "稳定币第一股"Circle发布超预期财报，Q4营收7.7亿美元（同比+77%），净利润1.33亿美元，USDC流通量达753亿美元（同比+72%），股价飙升逾35%。</w:t>
        <w:br/>
        <w:br/>
        <w:t>• 哈佛大学、布朗大学等顶级大学捐赠基金在最新13F文件中披露持有比特币和以太坊ETF头寸，开始配置加密资产。</w:t>
        <w:br/>
        <w:br/>
        <w:t>• 贝莱德旗下iShares提交修订版S-1，拟推出可质押以太坊现货ETF（代码ETHB），将在纳斯达克上市，计划将70%-95%资产参与以太坊质押。</w:t>
        <w:br/>
        <w:br/>
        <w:t>• 币安选择希腊作为欧盟监管基地，已向希腊监管机构提交MiCA牌照申请，需在2026年7月前获得许可。</w:t>
        <w:br/>
        <w:br/>
        <w:t>• Tether对全球互联网市场平台Whop进行战略投资（金额未披露），Whop将集成Tether的WDK钱包开发套件。</w:t>
        <w:br/>
        <w:br/>
        <w:t>• MetaMask与万事达卡合作在美国推出"自托管"支付卡，支持Apple Pay和Google Pay，用户可获1%-3%消费返现。</w:t>
        <w:br/>
        <w:br/>
        <w:t>• 渣打银行分析指出，稳定币发行商正成为美国国债票据潜在最大买家，预计到2028年底稳定币市值达2万亿美元时，将新增0.8-1万亿美元短期美债需求。</w:t>
      </w:r>
    </w:p>
    <w:p>
      <w:pPr>
        <w:pStyle w:val="Heading2"/>
      </w:pPr>
      <w:r>
        <w:rPr>
          <w:rFonts w:ascii="SimHei" w:hAnsi="SimHei" w:eastAsia="SimHei"/>
          <w:b/>
          <w:sz w:val="24"/>
        </w:rPr>
        <w:t>3. 交易所/项目动态</w:t>
      </w:r>
    </w:p>
    <w:p>
      <w:r>
        <w:rPr>
          <w:rFonts w:ascii="SimSun" w:hAnsi="SimSun" w:eastAsia="SimSun"/>
          <w:b w:val="0"/>
          <w:sz w:val="21"/>
        </w:rPr>
        <w:t>• 以太坊基金会发布"Strawmap"技术路线图草案，提出五大目标：秒级终局性快L1、zkEVM实时证明实现L1约10K TPS、DAS实现L2约10M TPS、抗量子密码、L1原生隐私与Shielded ETH转账，计划2029年底前进行七次硬分叉。</w:t>
        <w:br/>
        <w:br/>
        <w:t>• 以太坊基金会成立DeFi团队推进"DeFipunk"协议开发，任命前MakerDAO治理架构师Charles St. Louis为协议专家。</w:t>
        <w:br/>
        <w:br/>
        <w:t>• Axiom Exchange被链上侦探ZachXBT指控多名员工利用内部工具漏洞查看用户敏感信息并涉嫌内幕交易，Axiom回应称已移除相关工具访问权限并展开调查。</w:t>
        <w:br/>
        <w:br/>
        <w:t>• 币安杠杆将于2月26日下架ALCX等相关币种的全仓及逐仓杠杆交易对。</w:t>
        <w:br/>
        <w:br/>
        <w:t>• 韩国Upbit交易所宣布将于3月30日终止DENT/BTC交易对，并下架DENT代币。</w:t>
        <w:br/>
        <w:br/>
        <w:t>• Step Finance、Remora Markets、SolanaFloor三项目同时关停，Remora称rToken可1:1兑换USDC。</w:t>
        <w:br/>
        <w:br/>
        <w:t>• Aave全平台历史贷款总额突破1万亿美元，成为DeFi领域首个达成该规模的协议。</w:t>
        <w:br/>
        <w:br/>
        <w:t>• THORChain宣布Solana已在其平台上线，当前为渐进式开放。</w:t>
      </w:r>
    </w:p>
    <w:p>
      <w:pPr>
        <w:pStyle w:val="Heading2"/>
      </w:pPr>
      <w:r>
        <w:rPr>
          <w:rFonts w:ascii="SimHei" w:hAnsi="SimHei" w:eastAsia="SimHei"/>
          <w:b/>
          <w:sz w:val="24"/>
        </w:rPr>
        <w:t>4. 链上数据</w:t>
      </w:r>
    </w:p>
    <w:p>
      <w:r>
        <w:rPr>
          <w:rFonts w:ascii="SimSun" w:hAnsi="SimSun" w:eastAsia="SimSun"/>
          <w:b w:val="0"/>
          <w:sz w:val="21"/>
        </w:rPr>
        <w:t>• Vitalik Buterin计划出售的16,384枚ETH中，目前已售出15,479枚（约3,094万美元），仅剩905枚尚未卖出，已完成计划的94%。</w:t>
        <w:br/>
        <w:br/>
        <w:t>• 币安BTC存量攀升至676,834枚（约445亿美元），为2024年11月以来最高水平，较11月低点增长约9.3%，交易所抛压预期升温。</w:t>
        <w:br/>
        <w:br/>
        <w:t>• Strategy（MSTR）上周以约67,286美元价格增持592枚BTC（3,980万美元），目前共持有717,722枚BTC，成本均价76,020美元，浮亏约70.59亿美元。</w:t>
        <w:br/>
        <w:br/>
        <w:t>• Bitmine（BMNR）上周以约1,943美元价格增持51,162枚ETH（9,940万美元），目前共持有4,422,659枚ETH，成本均价3,779美元，浮亏约82.08亿美元。</w:t>
        <w:br/>
        <w:br/>
        <w:t>• Hyperliquid最大ETH多头巨鲸已由亏转盈，现浮盈275万美元（此前曾浮亏超2,000万美元）。</w:t>
        <w:br/>
        <w:br/>
        <w:t>• 某巨鲸通过ThorChain将约240.44枚BTC兑换为8,152枚ETH，随后存入Aave循环借出3,600万USDT买入17,283枚ETH，目前合计持有约25,434枚ETH（约5,245万美元）。</w:t>
        <w:br/>
        <w:br/>
        <w:t>• CryptoQuant数据显示，USDT当前处于极端流动性压力状态，类似2022年市场底部时期，稳定币交易所净流入量已从2025年11月的6.16亿美元降至2,700万美元。</w:t>
      </w:r>
    </w:p>
    <w:p>
      <w:pPr>
        <w:pStyle w:val="Heading2"/>
      </w:pPr>
      <w:r>
        <w:rPr>
          <w:rFonts w:ascii="SimHei" w:hAnsi="SimHei" w:eastAsia="SimHei"/>
          <w:b/>
          <w:sz w:val="24"/>
        </w:rPr>
        <w:t>5. 市场分析</w:t>
      </w:r>
    </w:p>
    <w:p>
      <w:r>
        <w:rPr>
          <w:rFonts w:ascii="SimSun" w:hAnsi="SimSun" w:eastAsia="SimSun"/>
          <w:b w:val="0"/>
          <w:sz w:val="21"/>
        </w:rPr>
        <w:t>• 币安研究院周报指出，市场对AI颠覆软件的担忧可能过度，比特币与全球M2货币供应出现历史上持续时间最长、幅度最大的背离，源于三大结构性扭曲：美元疲软推高M2名义值、现货ETF获批使机构将比特币与软件股归类为同一高波动科技因子、实际利率维持高位。背离收敛可能于2026年下半年至2027年初实现。</w:t>
        <w:br/>
        <w:br/>
        <w:t>• Bitfinex Alpha报告指出，比特币自2月5日下跌后在66,000-70,000美元区间盘整，这是本轮周期内最深回调，波动率收窄、动能减弱，显示市场正从清算驱动的下行转向更平衡的整理环境。机构资金流仍谨慎，ETF单周净流出约1.66亿美元。</w:t>
        <w:br/>
        <w:br/>
        <w:t>• Glassnode数据显示，哈希带指标接近发出为期三个月的矿工投降结束信号，这是史上最长矿工投降期之一。当30日算力移动平均线回升至60日线上方时，将触发恢复信号。</w:t>
        <w:br/>
        <w:br/>
        <w:t>• 分析师指出，比特币反弹遭6.8万美元趋势线压制，200周指数移动平均线及2021年前历史高点均构成阻力。历史上最短的比特币熊市持续了365天，而当前熊市仅约140天，任何关于熊市已结束的讨论可能都为时过早。</w:t>
        <w:br/>
        <w:br/>
        <w:t>• 10x Research指出，以太坊财库公司Bitmine目前承受约88亿美元账面亏损，超过FTX崩盘初期客户约80亿美元的损失规模，以太坊正处于估值与基本面双重考验的关键阶段。</w:t>
      </w:r>
    </w:p>
    <w:p>
      <w:pPr>
        <w:pStyle w:val="Heading1"/>
      </w:pPr>
      <w:r>
        <w:rPr>
          <w:rFonts w:ascii="SimHei" w:hAnsi="SimHei" w:eastAsia="SimHei"/>
          <w:b/>
          <w:sz w:val="28"/>
        </w:rPr>
        <w:t>三、宏观经济</w:t>
      </w:r>
    </w:p>
    <w:p>
      <w:r>
        <w:rPr>
          <w:rFonts w:ascii="SimSun" w:hAnsi="SimSun" w:eastAsia="SimSun"/>
          <w:b w:val="0"/>
          <w:sz w:val="21"/>
        </w:rPr>
        <w:t>【美股市场表现】</w:t>
        <w:br/>
        <w:t>• 纳斯达克指数：上涨1.05%，科技股连续第二日反弹</w:t>
        <w:br/>
        <w:t>• 标普500指数：上涨0.68%</w:t>
        <w:br/>
        <w:t>• 道琼斯指数：上涨421点（+0.86%）</w:t>
        <w:br/>
        <w:t>• 英伟达Q4营收增长73%，Q1指引创新高，黄仁勋上调5,000亿美元收入预期</w:t>
        <w:br/>
        <w:br/>
        <w:t>【美联储政策】</w:t>
        <w:br/>
        <w:t>• 美联储理事Waller表示，3月是否降息或维持利率不变如同"抛硬币"，将取决于2月就业数据</w:t>
        <w:br/>
        <w:t>• 美联储理事Milan认为今年需要降息约1个百分点，分四次实施</w:t>
        <w:br/>
        <w:t>• 交易员削减降息押注，6月降息概率降至50%创年内新低</w:t>
        <w:br/>
        <w:t>• 美联储监管副主席Bowman表示，致力于实施GENIUS稳定币法案，确保银行体系能够支持数字资产活动</w:t>
        <w:br/>
        <w:br/>
        <w:t>【关税与贸易】</w:t>
        <w:br/>
        <w:t>• 特朗普表示关税将继续实施，并希望"取代现代的所得税制度"</w:t>
        <w:br/>
        <w:t>• 美国贸易代表称对部分国家加征的"全球进口关税"税率可能从10%升至15%或更高</w:t>
        <w:br/>
        <w:t>• 特朗普称作为总统无需寻求国会批准即可实施关税</w:t>
        <w:br/>
        <w:br/>
        <w:t>【贵金属与大宗商品】</w:t>
        <w:br/>
        <w:t>• 现货黄金突破5,190美元/盎司，创历史新高</w:t>
        <w:br/>
        <w:t>• 现货白银日内大涨4%，报87.98美元/盎司</w:t>
        <w:br/>
        <w:t>• 美国原油库存增幅超预期，WTI原油小幅下跌</w:t>
        <w:br/>
        <w:br/>
        <w:t>【全球流动性】</w:t>
        <w:br/>
        <w:t>• 日元套利交易平仓压力持续，美元兑日元汇率维持在140区间</w:t>
        <w:br/>
        <w:t>• 美国财政部TGA账户重建抽离市场资金，预计4月税收季将达到约1.025万亿美元峰值</w:t>
        <w:br/>
        <w:t>• 全球债务规模攀升至创纪录的348万亿美元</w:t>
      </w:r>
    </w:p>
    <w:p>
      <w:pPr>
        <w:pStyle w:val="Heading1"/>
      </w:pPr>
      <w:r>
        <w:rPr>
          <w:rFonts w:ascii="SimHei" w:hAnsi="SimHei" w:eastAsia="SimHei"/>
          <w:b/>
          <w:sz w:val="28"/>
        </w:rPr>
        <w:t>四、个人交易笔记</w:t>
      </w:r>
    </w:p>
    <w:p>
      <w:r>
        <w:rPr>
          <w:rFonts w:ascii="SimSun" w:hAnsi="SimSun" w:eastAsia="SimSun"/>
          <w:b w:val="0"/>
          <w:sz w:val="21"/>
        </w:rPr>
        <w:t>【市场情绪观察】</w:t>
        <w:br/>
        <w:t>当前恐惧与贪婪指数处于11（极度恐惧）水平，表明市场情绪极度悲观。历史经验显示，极度恐惧往往对应阶段性底部区域。然而，多项指标显示市场尚未确认底部：</w:t>
        <w:br/>
        <w:br/>
        <w:t>1. 技术指标：比特币仍被困在60,000-72,000美元 consolidation 区间，200周EMA（约68,000美元）构成阻力。需关注能否站稳70,000美元心理关口。</w:t>
        <w:br/>
        <w:br/>
        <w:t>2. 资金流向：虽然2月25日ETF出现大额净流入（BTC +5.07亿，ETH +1.57亿），但2026年以来累计仍为净流出，机构资金态度仍谨慎。</w:t>
        <w:br/>
        <w:br/>
        <w:t>3. 链上信号：币安BTC存量升至近四个月高位，交易所抛压预期升温；USDT流动性压力处于极端状态，类似2022年底部时期。</w:t>
        <w:br/>
        <w:br/>
        <w:t>【关键价位】</w:t>
        <w:br/>
        <w:t>• 比特币支撑位：60,000-62,000美元（关键）、54,000美元（2024年10月低点）、50,000美元（极端情况）</w:t>
        <w:br/>
        <w:t>• 比特币阻力位：70,000美元（心理关口）、72,000-73,000美元（前期高点）、76,000美元（50日均线）</w:t>
        <w:br/>
        <w:t>• 以太坊支撑位：1,800美元、1,500美元</w:t>
        <w:br/>
        <w:t>• 以太坊阻力位：2,150美元、2,700美元</w:t>
        <w:br/>
        <w:br/>
        <w:t>【风险提示】</w:t>
        <w:br/>
        <w:t>• 宏观不确定性：美联储政策路径不明、关税政策变化、地缘政治风险</w:t>
        <w:br/>
        <w:t>• 市场结构风险：高杠杆、低流动性环境下易出现剧烈波动</w:t>
        <w:br/>
        <w:t>• 监管风险：《数字资产市场清晰法案》推进受阻，稳定币立法博弈持续</w:t>
        <w:br/>
        <w:br/>
        <w:t>【策略思考】</w:t>
        <w:br/>
        <w:t>当前市场处于熊市中期还是接近底部存在争议。保守策略建议：</w:t>
        <w:br/>
        <w:t>1. 控制仓位，避免高杠杆操作</w:t>
        <w:br/>
        <w:t>2. 关注ETF资金流向作为机构情绪指标</w:t>
        <w:br/>
        <w:t>3. 等待比特币站稳76,000美元（50日均线）后再考虑趋势性做多</w:t>
        <w:br/>
        <w:t>4. 关注6月美联储利率决议及通胀数据变化</w:t>
        <w:br/>
        <w:br/>
        <w:t>免责声明：本报告仅供参考，不构成投资建议。加密货币投资存在极高风险，可能导致本金全部损失。请根据自身风险承受能力谨慎决策。</w:t>
      </w:r>
    </w:p>
    <w:p/>
    <w:p>
      <w:pPr>
        <w:jc w:val="center"/>
      </w:pPr>
      <w:r>
        <w:rPr>
          <w:rFonts w:ascii="SimSun" w:hAnsi="SimSun" w:eastAsia="SimSun"/>
          <w:b w:val="0"/>
          <w:sz w:val="18"/>
        </w:rPr>
        <w:t>— 报告完 —</w:t>
        <w:br/>
        <w:t>数据来源：PANews、CoinDesk、The Block、CryptoQuant、SoSoValue等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