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每日币圈新闻报告"/>
    <w:p>
      <w:pPr>
        <w:pStyle w:val="Heading1"/>
      </w:pPr>
      <w:r>
        <w:t xml:space="preserve">每日币圈新闻报告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：2026年3月1日</w:t>
      </w:r>
      <w:r>
        <w:br/>
      </w:r>
      <w:r>
        <w:rPr>
          <w:bCs/>
          <w:b/>
        </w:rPr>
        <w:t xml:space="preserve">数据时间范围</w:t>
      </w:r>
      <w:r>
        <w:t xml:space="preserve">：2025年2月28日 10:00 - 2025年3月1日 10:00 (UTC+8)</w:t>
      </w:r>
      <w:r>
        <w:br/>
      </w:r>
      <w:r>
        <w:rPr>
          <w:bCs/>
          <w:b/>
        </w:rPr>
        <w:t xml:space="preserve">数据来源</w:t>
      </w:r>
      <w:r>
        <w:t xml:space="preserve">：PANews</w:t>
      </w:r>
    </w:p>
    <w:p>
      <w:r>
        <w:pict>
          <v:rect style="width:0;height:1.5pt" o:hralign="center" o:hrstd="t" o:hr="t"/>
        </w:pict>
      </w:r>
    </w:p>
    <w:bookmarkStart w:id="24" w:name="一监管政策变化"/>
    <w:p>
      <w:pPr>
        <w:pStyle w:val="Heading2"/>
      </w:pPr>
      <w:r>
        <w:t xml:space="preserve">一、监管政策变化</w:t>
      </w:r>
    </w:p>
    <w:bookmarkStart w:id="20" w:name="美国sec解除对coinbase的执法行动"/>
    <w:p>
      <w:pPr>
        <w:pStyle w:val="Heading3"/>
      </w:pPr>
      <w:r>
        <w:t xml:space="preserve">1、美国SEC解除对Coinbase的执法行动</w:t>
      </w:r>
    </w:p>
    <w:p>
      <w:pPr>
        <w:pStyle w:val="FirstParagraph"/>
      </w:pPr>
      <w:r>
        <w:t xml:space="preserve">美国证券交易委员会(SEC)正式解除对Coinbase的执法行动，标志着美国加密货币监管环境趋于缓和。同时，美国七个州正在推进比特币储备法案。</w:t>
      </w:r>
    </w:p>
    <w:bookmarkEnd w:id="20"/>
    <w:bookmarkStart w:id="21" w:name="南非计划将加密资产纳入资本流动管理框架"/>
    <w:p>
      <w:pPr>
        <w:pStyle w:val="Heading3"/>
      </w:pPr>
      <w:r>
        <w:t xml:space="preserve">2、南非计划将加密资产纳入资本流动管理框架</w:t>
      </w:r>
    </w:p>
    <w:p>
      <w:pPr>
        <w:pStyle w:val="FirstParagraph"/>
      </w:pPr>
      <w:r>
        <w:t xml:space="preserve">南非财政部长宣布，政府将发布法规草案，正式将加密资产纳入《货币与外汇法》下的资本流动管理体系。此举旨在完善跨境资本监管，结束加密资产在外汇管制上的模糊状态。</w:t>
      </w:r>
    </w:p>
    <w:bookmarkEnd w:id="21"/>
    <w:bookmarkStart w:id="22" w:name="英国fca选中4家公司进入监管沙盒测试稳定币创新"/>
    <w:p>
      <w:pPr>
        <w:pStyle w:val="Heading3"/>
      </w:pPr>
      <w:r>
        <w:t xml:space="preserve">3、英国FCA选中4家公司进入监管沙盒测试稳定币创新</w:t>
      </w:r>
    </w:p>
    <w:p>
      <w:pPr>
        <w:pStyle w:val="FirstParagraph"/>
      </w:pPr>
      <w:r>
        <w:t xml:space="preserve">英国金融行为监管局(FCA)宣布选中Revolut等4家公司进入其监管沙盒，测试将从2026年第一季度开始，重点涵盖稳定币发行、支付、批发结算及加密交易等应用场景。</w:t>
      </w:r>
    </w:p>
    <w:bookmarkEnd w:id="22"/>
    <w:bookmarkStart w:id="23" w:name="俄罗斯央行无限期推迟数字卢布全面启动"/>
    <w:p>
      <w:pPr>
        <w:pStyle w:val="Heading3"/>
      </w:pPr>
      <w:r>
        <w:t xml:space="preserve">4、俄罗斯央行无限期推迟数字卢布全面启动</w:t>
      </w:r>
    </w:p>
    <w:p>
      <w:pPr>
        <w:pStyle w:val="FirstParagraph"/>
      </w:pPr>
      <w:r>
        <w:t xml:space="preserve">俄罗斯央行宣布无限期推迟数字卢布全面启动，称是为了让金融机构采用合适模型。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大型机构投资减持"/>
    <w:p>
      <w:pPr>
        <w:pStyle w:val="Heading2"/>
      </w:pPr>
      <w:r>
        <w:t xml:space="preserve">二、大型机构投资/减持</w:t>
      </w:r>
    </w:p>
    <w:bookmarkStart w:id="25" w:name="X468b7e6f1bc2264f6e6d571205f0866bcc6d606"/>
    <w:p>
      <w:pPr>
        <w:pStyle w:val="Heading3"/>
      </w:pPr>
      <w:r>
        <w:t xml:space="preserve">5、全球投资公司Sixth Street向Figure Technology Solutions注资2亿美元</w:t>
      </w:r>
    </w:p>
    <w:p>
      <w:pPr>
        <w:pStyle w:val="FirstParagraph"/>
      </w:pPr>
      <w:r>
        <w:t xml:space="preserve">全球投资公司Sixth Street向美国区块链借贷公司Figure Technology Solutions注资2亿美元，以提升借贷效率、降低成本，助其拓展业务。</w:t>
      </w:r>
    </w:p>
    <w:bookmarkEnd w:id="25"/>
    <w:bookmarkStart w:id="26" w:name="gd-culture宣布出售比特币储备以资助股票回购计划"/>
    <w:p>
      <w:pPr>
        <w:pStyle w:val="Heading3"/>
      </w:pPr>
      <w:r>
        <w:t xml:space="preserve">6、GD Culture宣布出售比特币储备以资助股票回购计划</w:t>
      </w:r>
    </w:p>
    <w:p>
      <w:pPr>
        <w:pStyle w:val="FirstParagraph"/>
      </w:pPr>
      <w:r>
        <w:t xml:space="preserve">纳斯达克上市公司GD Culture Group Limited宣布其董事会已授权通过出售其持有的7,500枚比特币储备，以资助最高1亿美元股票回购计划。</w:t>
      </w:r>
    </w:p>
    <w:bookmarkEnd w:id="26"/>
    <w:bookmarkStart w:id="27" w:name="bitfinex报告etf流出与大户抛售令比特币承压"/>
    <w:p>
      <w:pPr>
        <w:pStyle w:val="Heading3"/>
      </w:pPr>
      <w:r>
        <w:t xml:space="preserve">7、Bitfinex报告：ETF流出与大户抛售令比特币承压</w:t>
      </w:r>
    </w:p>
    <w:p>
      <w:pPr>
        <w:pStyle w:val="FirstParagraph"/>
      </w:pPr>
      <w:r>
        <w:t xml:space="preserve">Bitfinex Alpha报告指出，由于比特币现货ETF流入疲软以及大户持续抛售，比特币市场仍处于下行趋势中。今年以来，美国比特币现货ETF已累计净流出26亿美元。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三主流交易所重大公告"/>
    <w:p>
      <w:pPr>
        <w:pStyle w:val="Heading2"/>
      </w:pPr>
      <w:r>
        <w:t xml:space="preserve">三、主流交易所重大公告</w:t>
      </w:r>
    </w:p>
    <w:bookmarkStart w:id="29" w:name="加密平台bitmex正寻求出售"/>
    <w:p>
      <w:pPr>
        <w:pStyle w:val="Heading3"/>
      </w:pPr>
      <w:r>
        <w:t xml:space="preserve">8、加密平台BitMEX正寻求出售</w:t>
      </w:r>
    </w:p>
    <w:p>
      <w:pPr>
        <w:pStyle w:val="FirstParagraph"/>
      </w:pPr>
      <w:r>
        <w:t xml:space="preserve">加密衍生品交易平台BitMEX正寻求出售，该平台曾因反洗钱问题遭指控。</w:t>
      </w:r>
    </w:p>
    <w:bookmarkEnd w:id="29"/>
    <w:bookmarkStart w:id="30" w:name="uniswap-labs推出原生法币提现功能"/>
    <w:p>
      <w:pPr>
        <w:pStyle w:val="Heading3"/>
      </w:pPr>
      <w:r>
        <w:t xml:space="preserve">9、Uniswap Labs推出原生法币提现功能</w:t>
      </w:r>
    </w:p>
    <w:p>
      <w:pPr>
        <w:pStyle w:val="FirstParagraph"/>
      </w:pPr>
      <w:r>
        <w:t xml:space="preserve">Uniswap Labs推出原生法币提现功能，覆盖超180个国家，用户可直接将加密货币兑换为法币提现。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大额链上资金异动"/>
    <w:p>
      <w:pPr>
        <w:pStyle w:val="Heading2"/>
      </w:pPr>
      <w:r>
        <w:t xml:space="preserve">四、大额链上资金异动</w:t>
      </w:r>
    </w:p>
    <w:bookmarkStart w:id="32" w:name="过去24小时全网合约爆仓2.39亿美元"/>
    <w:p>
      <w:pPr>
        <w:pStyle w:val="Heading3"/>
      </w:pPr>
      <w:r>
        <w:t xml:space="preserve">10、过去24小时全网合约爆仓2.39亿美元</w:t>
      </w:r>
    </w:p>
    <w:p>
      <w:pPr>
        <w:pStyle w:val="FirstParagraph"/>
      </w:pPr>
      <w:r>
        <w:t xml:space="preserve">CoinAnk数据显示，过去24小时加密货币市场全网合约爆仓2.39亿美元，其中多单爆仓4378万美元，空单爆仓1.96亿美元。BTC爆仓总金额1.05亿美元，ETH爆仓总金额5720万美元。</w:t>
      </w:r>
    </w:p>
    <w:bookmarkEnd w:id="32"/>
    <w:bookmarkStart w:id="33" w:name="链上巨鲸活动频繁"/>
    <w:p>
      <w:pPr>
        <w:pStyle w:val="Heading3"/>
      </w:pPr>
      <w:r>
        <w:t xml:space="preserve">11、链上巨鲸活动频繁</w:t>
      </w:r>
    </w:p>
    <w:p>
      <w:pPr>
        <w:numPr>
          <w:ilvl w:val="0"/>
          <w:numId w:val="1001"/>
        </w:numPr>
        <w:pStyle w:val="Compact"/>
      </w:pPr>
      <w:r>
        <w:t xml:space="preserve">某巨鲸在Lighter上持有总价值2400万美元的ARC多单仓位，资金费率年化飙升至2100%</w:t>
      </w:r>
    </w:p>
    <w:p>
      <w:pPr>
        <w:numPr>
          <w:ilvl w:val="0"/>
          <w:numId w:val="1001"/>
        </w:numPr>
        <w:pStyle w:val="Compact"/>
      </w:pPr>
      <w:r>
        <w:t xml:space="preserve">过去24小时链上单笔超1,000 BTC的交易共15笔，总金额约21.58亿美元</w:t>
      </w:r>
    </w:p>
    <w:p>
      <w:pPr>
        <w:numPr>
          <w:ilvl w:val="0"/>
          <w:numId w:val="1001"/>
        </w:numPr>
        <w:pStyle w:val="Compact"/>
      </w:pPr>
      <w:r>
        <w:t xml:space="preserve">过去24小时链上单笔超10,000 ETH的交易共50笔，总金额约20.12亿美元</w:t>
      </w:r>
    </w:p>
    <w:bookmarkEnd w:id="33"/>
    <w:bookmarkStart w:id="34" w:name="etf资金流向"/>
    <w:p>
      <w:pPr>
        <w:pStyle w:val="Heading3"/>
      </w:pPr>
      <w:r>
        <w:t xml:space="preserve">12、ETF资金流向</w:t>
      </w:r>
    </w:p>
    <w:p>
      <w:pPr>
        <w:numPr>
          <w:ilvl w:val="0"/>
          <w:numId w:val="1002"/>
        </w:numPr>
        <w:pStyle w:val="Compact"/>
      </w:pPr>
      <w:r>
        <w:t xml:space="preserve">美国比特币现货ETF总资产管理规模943亿美元，上一个单日总交易额30.1亿美元，交易日流出总资金2.75亿美元</w:t>
      </w:r>
    </w:p>
    <w:p>
      <w:pPr>
        <w:numPr>
          <w:ilvl w:val="0"/>
          <w:numId w:val="1002"/>
        </w:numPr>
        <w:pStyle w:val="Compact"/>
      </w:pPr>
      <w:r>
        <w:t xml:space="preserve">美国以太坊现货ETF总资产管理规模82.7亿美元，上一个单日总交易额2.67亿美元，交易日流出总资金7108万美元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五重要市场分析观点"/>
    <w:p>
      <w:pPr>
        <w:pStyle w:val="Heading2"/>
      </w:pPr>
      <w:r>
        <w:t xml:space="preserve">五、重要市场分析观点</w:t>
      </w:r>
    </w:p>
    <w:bookmarkStart w:id="36" w:name="bitfinex5.3万美元或为比特币关键支撑位"/>
    <w:p>
      <w:pPr>
        <w:pStyle w:val="Heading3"/>
      </w:pPr>
      <w:r>
        <w:t xml:space="preserve">13、Bitfinex：5.3万美元或为比特币关键支撑位</w:t>
      </w:r>
    </w:p>
    <w:p>
      <w:pPr>
        <w:pStyle w:val="FirstParagraph"/>
      </w:pPr>
      <w:r>
        <w:t xml:space="preserve">Bitfinex报告指出，目前53,000美元的已实现价格(Realised Price)被视为中期市场的关键支撑位。链上数据显示，目前交易所约64%的流入资金来自大型持有者(鲸鱼)，这一比例创下2015年10月以来新高。</w:t>
      </w:r>
    </w:p>
    <w:bookmarkEnd w:id="36"/>
    <w:bookmarkStart w:id="37" w:name="市场数据概览"/>
    <w:p>
      <w:pPr>
        <w:pStyle w:val="Heading3"/>
      </w:pPr>
      <w:r>
        <w:t xml:space="preserve">14、市场数据概览</w:t>
      </w:r>
    </w:p>
    <w:p>
      <w:pPr>
        <w:numPr>
          <w:ilvl w:val="0"/>
          <w:numId w:val="1003"/>
        </w:numPr>
        <w:pStyle w:val="Compact"/>
      </w:pPr>
      <w:r>
        <w:t xml:space="preserve">比特币(BTC)24小时上涨0.54%，收盘价84,708.58美元，市值占比59.7%</w:t>
      </w:r>
    </w:p>
    <w:p>
      <w:pPr>
        <w:numPr>
          <w:ilvl w:val="0"/>
          <w:numId w:val="1003"/>
        </w:numPr>
        <w:pStyle w:val="Compact"/>
      </w:pPr>
      <w:r>
        <w:t xml:space="preserve">以太坊(ETH)下跌1.23%，收盘价2,307.72美元，市值占比9.8%</w:t>
      </w:r>
    </w:p>
    <w:p>
      <w:pPr>
        <w:numPr>
          <w:ilvl w:val="0"/>
          <w:numId w:val="1003"/>
        </w:numPr>
        <w:pStyle w:val="Compact"/>
      </w:pPr>
      <w:r>
        <w:t xml:space="preserve">市值前100的虚拟货币中有12个上涨，88个下跌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其他重要动态"/>
    <w:p>
      <w:pPr>
        <w:pStyle w:val="Heading2"/>
      </w:pPr>
      <w:r>
        <w:t xml:space="preserve">六、其他重要动态</w:t>
      </w:r>
    </w:p>
    <w:bookmarkStart w:id="39" w:name="萨尔瓦多通过首份国家级开源ai保护立法"/>
    <w:p>
      <w:pPr>
        <w:pStyle w:val="Heading3"/>
      </w:pPr>
      <w:r>
        <w:t xml:space="preserve">15、萨尔瓦多通过首份国家级开源AI保护立法</w:t>
      </w:r>
    </w:p>
    <w:p>
      <w:pPr>
        <w:pStyle w:val="FirstParagraph"/>
      </w:pPr>
      <w:r>
        <w:t xml:space="preserve">萨尔瓦多通过首份国家级开源AI保护立法，成为全球首个在国家级层面为开源AI提供法律保护的国家。</w:t>
      </w:r>
    </w:p>
    <w:bookmarkEnd w:id="39"/>
    <w:bookmarkStart w:id="40" w:name="openai发布gpt-4.5研究预览版"/>
    <w:p>
      <w:pPr>
        <w:pStyle w:val="Heading3"/>
      </w:pPr>
      <w:r>
        <w:t xml:space="preserve">16、OpenAI发布GPT-4.5研究预览版</w:t>
      </w:r>
    </w:p>
    <w:p>
      <w:pPr>
        <w:pStyle w:val="FirstParagraph"/>
      </w:pPr>
      <w:r>
        <w:t xml:space="preserve">OpenAI发布GPT-4.5研究预览版，能力更出色，引发AI与区块链结合领域的新讨论。</w:t>
      </w:r>
    </w:p>
    <w:bookmarkEnd w:id="40"/>
    <w:bookmarkStart w:id="41" w:name="tether对全球互联网市场平台whop进行战略投资"/>
    <w:p>
      <w:pPr>
        <w:pStyle w:val="Heading3"/>
      </w:pPr>
      <w:r>
        <w:t xml:space="preserve">17、Tether对全球互联网市场平台Whop进行战略投资</w:t>
      </w:r>
    </w:p>
    <w:p>
      <w:pPr>
        <w:pStyle w:val="FirstParagraph"/>
      </w:pPr>
      <w:r>
        <w:t xml:space="preserve">Tether宣布对全球互联网市场平台Whop进行战略投资，Whop将集成Tether的钱包开发套件(WDK)，使创作者和用户能够使用USDT进行高效支付。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报告生成时间：2026年3月1日 10:00</w:t>
      </w:r>
      <w:r>
        <w:br/>
      </w:r>
      <w:r>
        <w:rPr>
          <w:iCs/>
          <w:i/>
        </w:rPr>
        <w:t xml:space="preserve">免责声明：本报告仅供参考，不构成投资建议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2026-03-01T02:01:47Z</dcterms:created>
  <dcterms:modified xsi:type="dcterms:W3CDTF">2026-03-01T02:01:47Z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