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ADFC70">
      <w:pPr>
        <w:jc w:val="center"/>
        <w:rPr>
          <w:b/>
          <w:sz w:val="26"/>
          <w:szCs w:val="26"/>
          <w:lang w:val="en-US"/>
        </w:rPr>
      </w:pPr>
      <w:r>
        <w:rPr>
          <w:b/>
          <w:sz w:val="26"/>
          <w:szCs w:val="26"/>
          <w:lang w:val="en-US"/>
        </w:rPr>
        <w:t>{{ contract_number }}</w:t>
      </w:r>
      <w:r>
        <w:rPr>
          <w:b/>
          <w:sz w:val="26"/>
          <w:szCs w:val="26"/>
          <w:lang w:val="uz-Cyrl-UZ"/>
        </w:rPr>
        <w:t>-sonli SHARTNOMA</w:t>
      </w:r>
    </w:p>
    <w:p w14:paraId="13FBBFEA">
      <w:pPr>
        <w:jc w:val="center"/>
        <w:rPr>
          <w:b/>
          <w:sz w:val="24"/>
          <w:szCs w:val="24"/>
          <w:lang w:val="uz-Latn-UZ"/>
        </w:rPr>
      </w:pPr>
    </w:p>
    <w:p w14:paraId="34CB0EC6">
      <w:pPr>
        <w:jc w:val="center"/>
        <w:rPr>
          <w:b/>
          <w:sz w:val="24"/>
          <w:szCs w:val="24"/>
          <w:lang w:val="en-US"/>
        </w:rPr>
      </w:pPr>
      <w:r>
        <w:rPr>
          <w:b/>
          <w:sz w:val="24"/>
          <w:szCs w:val="24"/>
          <w:lang w:val="en-US"/>
        </w:rPr>
        <w:t xml:space="preserve">Toshkent sh. </w:t>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ab/>
      </w:r>
      <w:r>
        <w:rPr>
          <w:b/>
          <w:sz w:val="24"/>
          <w:szCs w:val="24"/>
          <w:lang w:val="en-US"/>
        </w:rPr>
        <w:t>{{ date }}</w:t>
      </w:r>
    </w:p>
    <w:p w14:paraId="15BC8436">
      <w:pPr>
        <w:rPr>
          <w:b/>
          <w:sz w:val="24"/>
          <w:szCs w:val="24"/>
          <w:lang w:val="en-US"/>
        </w:rPr>
      </w:pPr>
    </w:p>
    <w:p w14:paraId="667F3C54">
      <w:pPr>
        <w:rPr>
          <w:sz w:val="24"/>
          <w:szCs w:val="24"/>
          <w:lang w:val="uz-Cyrl-UZ"/>
        </w:rPr>
      </w:pPr>
      <w:r>
        <w:rPr>
          <w:sz w:val="24"/>
          <w:szCs w:val="24"/>
          <w:lang w:val="uz-Cyrl-UZ"/>
        </w:rPr>
        <w:tab/>
      </w:r>
      <w:r>
        <w:rPr>
          <w:b/>
          <w:sz w:val="24"/>
          <w:szCs w:val="24"/>
          <w:lang w:val="uz-Cyrl-UZ"/>
        </w:rPr>
        <w:t>“</w:t>
      </w:r>
      <w:r>
        <w:rPr>
          <w:b/>
          <w:sz w:val="24"/>
          <w:szCs w:val="24"/>
          <w:lang w:val="en-US"/>
        </w:rPr>
        <w:t>{{ hall_name }}</w:t>
      </w:r>
      <w:r>
        <w:rPr>
          <w:b/>
          <w:sz w:val="24"/>
          <w:szCs w:val="24"/>
          <w:lang w:val="uz-Cyrl-UZ"/>
        </w:rPr>
        <w:t>”</w:t>
      </w:r>
      <w:r>
        <w:rPr>
          <w:sz w:val="24"/>
          <w:szCs w:val="24"/>
          <w:lang w:val="uz-Cyrl-UZ"/>
        </w:rPr>
        <w:t xml:space="preserve"> nomidan uning Ustavi asosida ish yurituvchi bosh direktori </w:t>
      </w:r>
      <w:r>
        <w:rPr>
          <w:sz w:val="24"/>
          <w:szCs w:val="24"/>
          <w:lang w:val="en-US"/>
        </w:rPr>
        <w:t>{{ hall_director }}</w:t>
      </w:r>
      <w:r>
        <w:rPr>
          <w:sz w:val="24"/>
          <w:szCs w:val="24"/>
          <w:lang w:val="uz-Cyrl-UZ"/>
        </w:rPr>
        <w:t xml:space="preserve">, keyingi o‘rinlarda “IJARAGA BERUVCHI” deb yuritiladi va </w:t>
      </w:r>
      <w:r>
        <w:rPr>
          <w:sz w:val="24"/>
          <w:szCs w:val="24"/>
          <w:lang w:val="en-US"/>
        </w:rPr>
        <w:t>“{{ application_name }}”</w:t>
      </w:r>
      <w:r>
        <w:rPr>
          <w:b/>
          <w:sz w:val="24"/>
          <w:szCs w:val="24"/>
          <w:lang w:val="uz-Cyrl-UZ"/>
        </w:rPr>
        <w:t xml:space="preserve"> </w:t>
      </w:r>
      <w:r>
        <w:rPr>
          <w:sz w:val="24"/>
          <w:szCs w:val="24"/>
          <w:lang w:val="uz-Cyrl-UZ"/>
        </w:rPr>
        <w:t xml:space="preserve">nomidan uning Ustavi asosida ish yurituvchi rahbari </w:t>
      </w:r>
      <w:r>
        <w:rPr>
          <w:sz w:val="24"/>
          <w:szCs w:val="24"/>
          <w:lang w:val="en-US"/>
        </w:rPr>
        <w:t>{{ application_director }}</w:t>
      </w:r>
      <w:r>
        <w:rPr>
          <w:sz w:val="24"/>
          <w:szCs w:val="24"/>
          <w:lang w:val="uz-Cyrl-UZ"/>
        </w:rPr>
        <w:t>, keyingi o‘rinlarda “IJARACHI” deb yuritiladi, quyidagilar haqida shartnoma tuzdilar:</w:t>
      </w:r>
    </w:p>
    <w:p w14:paraId="5E2E148D">
      <w:pPr>
        <w:rPr>
          <w:sz w:val="24"/>
          <w:szCs w:val="24"/>
          <w:lang w:val="uz-Cyrl-UZ"/>
        </w:rPr>
      </w:pPr>
    </w:p>
    <w:p w14:paraId="472D12B6">
      <w:pPr>
        <w:numPr>
          <w:ilvl w:val="0"/>
          <w:numId w:val="1"/>
        </w:numPr>
        <w:spacing w:after="120"/>
        <w:jc w:val="center"/>
        <w:rPr>
          <w:sz w:val="26"/>
          <w:szCs w:val="26"/>
          <w:lang w:val="uz-Cyrl-UZ"/>
        </w:rPr>
      </w:pPr>
      <w:r>
        <w:rPr>
          <w:b/>
          <w:sz w:val="26"/>
          <w:szCs w:val="26"/>
          <w:lang w:val="uz-Cyrl-UZ"/>
        </w:rPr>
        <w:tab/>
      </w:r>
      <w:r>
        <w:rPr>
          <w:b/>
          <w:sz w:val="26"/>
          <w:szCs w:val="26"/>
          <w:lang w:val="uz-Cyrl-UZ"/>
        </w:rPr>
        <w:t>Shartnomaning predmeti</w:t>
      </w:r>
    </w:p>
    <w:p w14:paraId="614F21E9">
      <w:pPr>
        <w:numPr>
          <w:ilvl w:val="1"/>
          <w:numId w:val="2"/>
        </w:numPr>
        <w:tabs>
          <w:tab w:val="left" w:pos="1134"/>
        </w:tabs>
        <w:ind w:left="0" w:firstLine="567"/>
        <w:rPr>
          <w:sz w:val="24"/>
          <w:szCs w:val="24"/>
          <w:lang w:val="uz-Cyrl-UZ"/>
        </w:rPr>
      </w:pPr>
      <w:r>
        <w:rPr>
          <w:sz w:val="24"/>
          <w:szCs w:val="24"/>
          <w:lang w:val="uz-Cyrl-UZ"/>
        </w:rPr>
        <w:t>“IJARAGA BЕRUVCHI” “IJARACHIGA”</w:t>
      </w:r>
      <w:r>
        <w:rPr>
          <w:sz w:val="24"/>
          <w:szCs w:val="24"/>
          <w:lang w:val="uz-Latn-UZ"/>
        </w:rPr>
        <w:t xml:space="preserve"> </w:t>
      </w:r>
      <w:r>
        <w:rPr>
          <w:b/>
          <w:sz w:val="24"/>
          <w:szCs w:val="24"/>
          <w:lang w:val="uz-Cyrl-UZ"/>
        </w:rPr>
        <w:t>“</w:t>
      </w:r>
      <w:r>
        <w:rPr>
          <w:bCs/>
          <w:sz w:val="24"/>
          <w:szCs w:val="24"/>
          <w:lang w:val="uz-Cyrl-UZ"/>
        </w:rPr>
        <w:t>{{ hall_name }}</w:t>
      </w:r>
      <w:r>
        <w:rPr>
          <w:b/>
          <w:sz w:val="24"/>
          <w:szCs w:val="24"/>
          <w:lang w:val="uz-Cyrl-UZ"/>
        </w:rPr>
        <w:t>”</w:t>
      </w:r>
      <w:r>
        <w:rPr>
          <w:sz w:val="24"/>
          <w:szCs w:val="24"/>
          <w:lang w:val="uz-Cyrl-UZ"/>
        </w:rPr>
        <w:t xml:space="preserve"> (sahna, tomosha zali va san’atkorlar, rekvizitlar, kostyumlar uchun kiyinish xonalari hamda foye qismidan iborat konsert zali) ijaraga beradi.</w:t>
      </w:r>
    </w:p>
    <w:p w14:paraId="0C33540F">
      <w:pPr>
        <w:numPr>
          <w:ilvl w:val="1"/>
          <w:numId w:val="2"/>
        </w:numPr>
        <w:tabs>
          <w:tab w:val="left" w:pos="1134"/>
        </w:tabs>
        <w:ind w:left="0" w:firstLine="567"/>
        <w:rPr>
          <w:sz w:val="24"/>
          <w:szCs w:val="24"/>
          <w:lang w:val="uz-Cyrl-UZ"/>
        </w:rPr>
      </w:pPr>
      <w:r>
        <w:rPr>
          <w:sz w:val="24"/>
          <w:szCs w:val="24"/>
          <w:lang w:val="uz-Cyrl-UZ"/>
        </w:rPr>
        <w:t xml:space="preserve">“IJARAGA BЕRUVCHI”, </w:t>
      </w:r>
      <w:r>
        <w:rPr>
          <w:b/>
          <w:sz w:val="24"/>
          <w:szCs w:val="24"/>
          <w:lang w:val="uz-Cyrl-UZ"/>
        </w:rPr>
        <w:t>“</w:t>
      </w:r>
      <w:r>
        <w:rPr>
          <w:bCs/>
          <w:sz w:val="24"/>
          <w:szCs w:val="24"/>
          <w:lang w:val="uz-Cyrl-UZ"/>
        </w:rPr>
        <w:t>{{ hall_name }}</w:t>
      </w:r>
      <w:r>
        <w:rPr>
          <w:b/>
          <w:sz w:val="24"/>
          <w:szCs w:val="24"/>
          <w:lang w:val="uz-Cyrl-UZ"/>
        </w:rPr>
        <w:t>”</w:t>
      </w:r>
      <w:r>
        <w:rPr>
          <w:sz w:val="24"/>
          <w:szCs w:val="24"/>
          <w:lang w:val="uz-Cyrl-UZ"/>
        </w:rPr>
        <w:t xml:space="preserve"> zalida tadbir o‘tkazish uchun barcha ruxsatnomalar taqdim etilgandan so‘ng shartnoma tuzadi.</w:t>
      </w:r>
    </w:p>
    <w:p w14:paraId="3EAE7540">
      <w:pPr>
        <w:numPr>
          <w:ilvl w:val="1"/>
          <w:numId w:val="2"/>
        </w:numPr>
        <w:tabs>
          <w:tab w:val="left" w:pos="1134"/>
        </w:tabs>
        <w:ind w:left="0" w:firstLine="567"/>
        <w:rPr>
          <w:sz w:val="24"/>
          <w:szCs w:val="24"/>
          <w:lang w:val="uz-Cyrl-UZ"/>
        </w:rPr>
      </w:pPr>
      <w:r>
        <w:rPr>
          <w:sz w:val="24"/>
          <w:szCs w:val="24"/>
          <w:lang w:val="uz-Cyrl-UZ"/>
        </w:rPr>
        <w:t>“IJARAGA BЕRUVCHI” konsert (repetitsiyalar, tadbirlar) paytida mavjud xizmat ko‘rsatuvchi texnik xodimlar bilan ta’minlaydi. Repetitsiyalar “IJARACHI” tomonidan faqat konsert kunlarida to‘lovsiz o‘tkaziladi. Konsert kuni sahnada bezatish, asbob-uskunalarni o‘rnatish 9:00 dan 14:00 gacha, repetitsiyalar 14:00 dan 18:00 gacha amalga oshiriladi.</w:t>
      </w:r>
    </w:p>
    <w:p w14:paraId="68E32115">
      <w:pPr>
        <w:tabs>
          <w:tab w:val="left" w:pos="602"/>
        </w:tabs>
        <w:ind w:left="35"/>
        <w:rPr>
          <w:sz w:val="24"/>
          <w:szCs w:val="24"/>
          <w:lang w:val="uz-Cyrl-UZ"/>
        </w:rPr>
      </w:pPr>
      <w:r>
        <w:rPr>
          <w:sz w:val="24"/>
          <w:szCs w:val="24"/>
          <w:lang w:val="uz-Cyrl-UZ"/>
        </w:rPr>
        <w:tab/>
      </w:r>
      <w:r>
        <w:rPr>
          <w:sz w:val="24"/>
          <w:szCs w:val="24"/>
          <w:lang w:val="uz-Cyrl-UZ"/>
        </w:rPr>
        <w:t>Agar “IJARACHI” belgilangan muddatdan ortiq repetitsiya o‘tkazsa, O‘zbekiston Respublikasi Adliya vazirligi tomonidan 2004-yil 23-iyunda 1375-son bilan davlat ro‘yxatidan o‘tkazilgan “Teatr va tomosha muassasalari binolarini chet tashkilotlarga ijaraga berish va ijara haqini belgilash tartibi to‘g‘risida”gi Nizomning 2-§ 8-bandiga muvofiq “Repetitsiya vaqti bir kunlik Teatr va tomosha muassasalari binolarini ijarasi narxining kamida 50% miqdorida to‘lanadi”.</w:t>
      </w:r>
    </w:p>
    <w:p w14:paraId="6E5B1A6F">
      <w:pPr>
        <w:numPr>
          <w:ilvl w:val="1"/>
          <w:numId w:val="2"/>
        </w:numPr>
        <w:tabs>
          <w:tab w:val="left" w:pos="1134"/>
        </w:tabs>
        <w:ind w:left="0" w:firstLine="567"/>
        <w:rPr>
          <w:sz w:val="24"/>
          <w:szCs w:val="24"/>
          <w:lang w:val="uz-Cyrl-UZ"/>
        </w:rPr>
      </w:pPr>
      <w:r>
        <w:rPr>
          <w:sz w:val="24"/>
          <w:szCs w:val="24"/>
          <w:lang w:val="uz-Cyrl-UZ"/>
        </w:rPr>
        <w:t>“IJARAGA BЕRUVCHI”, alohida tuzilgan ijara shartnomasi bo‘yicha, “IJARACHIGA” saroy foyesida bannerlar va boshqa reklama materiallarini joylashtirish uchun joyni tadbir tashkilotchilari tomonidan belgilangan muddatga berishi mumkin.</w:t>
      </w:r>
    </w:p>
    <w:p w14:paraId="35B8AC5E">
      <w:pPr>
        <w:numPr>
          <w:ilvl w:val="1"/>
          <w:numId w:val="2"/>
        </w:numPr>
        <w:tabs>
          <w:tab w:val="left" w:pos="1134"/>
        </w:tabs>
        <w:ind w:left="0" w:firstLine="567"/>
        <w:rPr>
          <w:sz w:val="24"/>
          <w:szCs w:val="24"/>
          <w:lang w:val="uz-Cyrl-UZ"/>
        </w:rPr>
      </w:pPr>
      <w:r>
        <w:rPr>
          <w:sz w:val="24"/>
          <w:szCs w:val="24"/>
          <w:lang w:val="uz-Cyrl-UZ"/>
        </w:rPr>
        <w:t>“IJARACHI” tomonidan tayyorlangan flayerlar faqat saroy chiptalari bilan amal qiladi. Yuqorida ko‘rsatilgan chiptalar bo‘lmagan taqdirda “IJARAGA BЕRUVCHI” qo‘shaloq chiptalar (flayerlar) mavjudligi uchun javobgar bo‘lmaydi.</w:t>
      </w:r>
    </w:p>
    <w:p w14:paraId="07EB4F01">
      <w:pPr>
        <w:numPr>
          <w:ilvl w:val="1"/>
          <w:numId w:val="2"/>
        </w:numPr>
        <w:tabs>
          <w:tab w:val="left" w:pos="1134"/>
        </w:tabs>
        <w:ind w:left="0" w:firstLine="567"/>
        <w:rPr>
          <w:sz w:val="24"/>
          <w:szCs w:val="24"/>
          <w:lang w:val="uz-Cyrl-UZ"/>
        </w:rPr>
      </w:pPr>
      <w:r>
        <w:rPr>
          <w:sz w:val="24"/>
          <w:szCs w:val="24"/>
          <w:lang w:val="uz-Cyrl-UZ"/>
        </w:rPr>
        <w:t xml:space="preserve">“IJARAGA BЕRUVCHI”, “IJARACHI” tomonidan konsert o‘tkazish uchun olib kelingan elektr asboblari va yorug‘lik effektlari uchun, agar ular davlat standartiga mos kelsa va tegishli hujjatlar taqdim etilgan bo‘lsa, “IJARACHI”ga hech qanday da’vo qilmaydi. </w:t>
      </w:r>
    </w:p>
    <w:p w14:paraId="38F4253B">
      <w:pPr>
        <w:tabs>
          <w:tab w:val="left" w:pos="567"/>
        </w:tabs>
        <w:ind w:left="35"/>
        <w:rPr>
          <w:sz w:val="24"/>
          <w:szCs w:val="24"/>
          <w:lang w:val="uz-Cyrl-UZ"/>
        </w:rPr>
      </w:pPr>
      <w:r>
        <w:rPr>
          <w:sz w:val="24"/>
          <w:szCs w:val="24"/>
          <w:lang w:val="uz-Cyrl-UZ"/>
        </w:rPr>
        <w:tab/>
      </w:r>
      <w:r>
        <w:rPr>
          <w:sz w:val="24"/>
          <w:szCs w:val="24"/>
          <w:lang w:val="uz-Cyrl-UZ"/>
        </w:rPr>
        <w:t>“IJARACHI” foydalanayotgan barcha jihoz va texnikalar saroydagi Toshkent shahar FVB YOXTTE bo‘limi xodimlari tomonidan tekshirilgandan so‘ng, saroy binosiga olib kiriladi. Foydalaniladigan uskunalar va texnikalar ro‘yxati yozma ravishda uch nusxada tuziladi, ulardan biri saroyning muassasadan tashqari qo‘riqlash boshlig‘iga, ikkinchisi YOXTTE bo‘limi boshlig‘iga topshiriladi. Ushbu elektr jihozlarini va yorug‘lik effektlarini ishlatish bo‘yicha xizmat ko‘rsatish yuzasidan da’vo ko‘rib chiqilmaydi.</w:t>
      </w:r>
    </w:p>
    <w:p w14:paraId="03EA2AEF">
      <w:pPr>
        <w:numPr>
          <w:ilvl w:val="1"/>
          <w:numId w:val="2"/>
        </w:numPr>
        <w:tabs>
          <w:tab w:val="left" w:pos="1134"/>
        </w:tabs>
        <w:ind w:left="0" w:firstLine="567"/>
        <w:rPr>
          <w:sz w:val="24"/>
          <w:szCs w:val="24"/>
          <w:lang w:val="uz-Cyrl-UZ"/>
        </w:rPr>
      </w:pPr>
      <w:r>
        <w:rPr>
          <w:sz w:val="24"/>
          <w:szCs w:val="24"/>
          <w:lang w:val="uz-Cyrl-UZ"/>
        </w:rPr>
        <w:t>“IJARAGA BЕRUVCHI” chiptalarni sotish uchun “IJARACHI”ga kassa xonasini taqdim etadi va “IJARACHI” o‘z navbatida, “IJARAGA BЕRUVCHI”ni chiptalar sotuvining  ochilish-yopilish sanalari to‘g‘risida, kassaning ish vaqti, kassirning familiyasi, ismi va otasining ismini to‘liq ko‘rsatib, yozma ravishda xabar beradi. Chiptalarni sotish tugagandan so‘ng, “IJARACHI” kassa kalitini saroy ma’muriyatiga qaytarishi shart. “IJARAGA BЕRUVCHI”, “IJARACHI” qoldirgan narsalar uchun javobgar bo‘lmaydi. Chiptalar saroy kassalarida 30 kalendar kunidan ortiq muddatda sotiladigan hollarda, “IJARACHI” kassani ijaraga olish uchun kommunal xizmatlar haqini to‘lash bilan alohida shartnoma tuzadi.</w:t>
      </w:r>
    </w:p>
    <w:p w14:paraId="021AAD6E">
      <w:pPr>
        <w:rPr>
          <w:sz w:val="24"/>
          <w:szCs w:val="24"/>
          <w:lang w:val="uz-Cyrl-UZ"/>
        </w:rPr>
      </w:pPr>
      <w:r>
        <w:rPr>
          <w:sz w:val="24"/>
          <w:szCs w:val="24"/>
          <w:lang w:val="uz-Cyrl-UZ"/>
        </w:rPr>
        <w:tab/>
      </w:r>
      <w:r>
        <w:rPr>
          <w:sz w:val="24"/>
          <w:szCs w:val="24"/>
          <w:lang w:val="uz-Cyrl-UZ"/>
        </w:rPr>
        <w:t>“IJARACHI” chiptalarni sotishdan tushgan mablag‘ni inkassatsiya qilish, chiptalarga narxlarni belgilash uchun mustaqil ravishda javobgardir. Agar “IJARACHI” istisno tariqasida tadbir o‘tkazish uchun “Saroy” zalini bepul berishga ruxsat olgan taqdirda ham chiptalarni sotishga kassa xonalarini taqdim etish uchun to‘lovni alohida amalga oshiradi.</w:t>
      </w:r>
    </w:p>
    <w:p w14:paraId="0C161900">
      <w:pPr>
        <w:numPr>
          <w:ilvl w:val="0"/>
          <w:numId w:val="2"/>
        </w:numPr>
        <w:spacing w:after="120"/>
        <w:jc w:val="center"/>
        <w:rPr>
          <w:sz w:val="26"/>
          <w:szCs w:val="26"/>
          <w:lang w:val="uz-Cyrl-UZ"/>
        </w:rPr>
      </w:pPr>
      <w:r>
        <w:rPr>
          <w:b/>
          <w:sz w:val="26"/>
          <w:szCs w:val="26"/>
          <w:lang w:val="uz-Cyrl-UZ"/>
        </w:rPr>
        <w:t>Shartnoma qiymatini aniqlash</w:t>
      </w:r>
    </w:p>
    <w:p w14:paraId="5F6765D8">
      <w:pPr>
        <w:numPr>
          <w:ilvl w:val="1"/>
          <w:numId w:val="2"/>
        </w:numPr>
        <w:tabs>
          <w:tab w:val="left" w:pos="1134"/>
        </w:tabs>
        <w:ind w:left="0" w:firstLine="567"/>
        <w:rPr>
          <w:sz w:val="24"/>
          <w:szCs w:val="24"/>
          <w:lang w:val="uz-Cyrl-UZ"/>
        </w:rPr>
      </w:pPr>
      <w:r>
        <w:rPr>
          <w:sz w:val="24"/>
          <w:szCs w:val="24"/>
          <w:lang w:val="uz-Cyrl-UZ"/>
        </w:rPr>
        <w:t>Bir kunlik ijara to‘lovi hisob-kitob kalkulyatsiyasi bilan belgilanadi.</w:t>
      </w:r>
    </w:p>
    <w:p w14:paraId="7FB7EF53">
      <w:pPr>
        <w:numPr>
          <w:ilvl w:val="1"/>
          <w:numId w:val="2"/>
        </w:numPr>
        <w:tabs>
          <w:tab w:val="left" w:pos="1134"/>
        </w:tabs>
        <w:ind w:left="0" w:firstLine="567"/>
        <w:rPr>
          <w:sz w:val="24"/>
          <w:szCs w:val="24"/>
          <w:lang w:val="uz-Cyrl-UZ"/>
        </w:rPr>
      </w:pPr>
      <w:r>
        <w:rPr>
          <w:sz w:val="24"/>
          <w:szCs w:val="24"/>
          <w:lang w:val="uz-Cyrl-UZ"/>
        </w:rPr>
        <w:t xml:space="preserve">Ushbu shartnomaning 1.1. bandida ko‘rsatilgan xizmatlarni bajarish uchun “IJARACHI”, “IJARAGA BЕRUVCHI”ga QQSsiz </w:t>
      </w:r>
      <w:r>
        <w:rPr>
          <w:b/>
          <w:sz w:val="24"/>
          <w:szCs w:val="24"/>
          <w:lang w:val="en-US"/>
        </w:rPr>
        <w:t>{{ total_text }}</w:t>
      </w:r>
      <w:r>
        <w:rPr>
          <w:b/>
          <w:sz w:val="24"/>
          <w:szCs w:val="24"/>
          <w:lang w:val="uz-Cyrl-UZ"/>
        </w:rPr>
        <w:t xml:space="preserve"> so‘m</w:t>
      </w:r>
      <w:r>
        <w:rPr>
          <w:sz w:val="24"/>
          <w:szCs w:val="24"/>
          <w:lang w:val="uz-Cyrl-UZ"/>
        </w:rPr>
        <w:t xml:space="preserve"> to‘laydi.</w:t>
      </w:r>
    </w:p>
    <w:p w14:paraId="2D910655">
      <w:pPr>
        <w:tabs>
          <w:tab w:val="left" w:pos="709"/>
        </w:tabs>
        <w:ind w:left="720"/>
        <w:rPr>
          <w:sz w:val="24"/>
          <w:szCs w:val="24"/>
          <w:lang w:val="uz-Cyrl-UZ"/>
        </w:rPr>
      </w:pPr>
    </w:p>
    <w:tbl>
      <w:tblPr>
        <w:tblStyle w:val="3"/>
        <w:tblW w:w="105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1572"/>
        <w:gridCol w:w="1019"/>
        <w:gridCol w:w="1592"/>
        <w:gridCol w:w="1628"/>
        <w:gridCol w:w="1617"/>
        <w:gridCol w:w="945"/>
        <w:gridCol w:w="1617"/>
      </w:tblGrid>
      <w:tr w14:paraId="70341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14:paraId="3F4DA952">
            <w:pPr>
              <w:tabs>
                <w:tab w:val="left" w:pos="709"/>
              </w:tabs>
              <w:jc w:val="center"/>
              <w:rPr>
                <w:b/>
                <w:sz w:val="22"/>
                <w:lang w:val="uz-Cyrl-UZ"/>
              </w:rPr>
            </w:pPr>
            <w:r>
              <w:rPr>
                <w:b/>
                <w:sz w:val="22"/>
                <w:lang w:val="uz-Cyrl-UZ"/>
              </w:rPr>
              <w:t>№</w:t>
            </w:r>
          </w:p>
        </w:tc>
        <w:tc>
          <w:tcPr>
            <w:tcW w:w="2410" w:type="dxa"/>
            <w:vAlign w:val="center"/>
          </w:tcPr>
          <w:p w14:paraId="0F8CB15F">
            <w:pPr>
              <w:tabs>
                <w:tab w:val="left" w:pos="709"/>
              </w:tabs>
              <w:jc w:val="center"/>
              <w:rPr>
                <w:b/>
                <w:sz w:val="22"/>
                <w:lang w:val="uz-Cyrl-UZ"/>
              </w:rPr>
            </w:pPr>
            <w:r>
              <w:rPr>
                <w:b/>
                <w:sz w:val="22"/>
                <w:lang w:val="uz-Cyrl-UZ"/>
              </w:rPr>
              <w:t>Ishlar, xizmatlar nomi</w:t>
            </w:r>
          </w:p>
        </w:tc>
        <w:tc>
          <w:tcPr>
            <w:tcW w:w="1134" w:type="dxa"/>
            <w:vAlign w:val="center"/>
          </w:tcPr>
          <w:p w14:paraId="75F9369D">
            <w:pPr>
              <w:tabs>
                <w:tab w:val="left" w:pos="709"/>
              </w:tabs>
              <w:jc w:val="center"/>
              <w:rPr>
                <w:b/>
                <w:sz w:val="22"/>
                <w:lang w:val="uz-Cyrl-UZ"/>
              </w:rPr>
            </w:pPr>
            <w:r>
              <w:rPr>
                <w:b/>
                <w:sz w:val="22"/>
                <w:lang w:val="uz-Cyrl-UZ"/>
              </w:rPr>
              <w:t>O‘lchov birligi</w:t>
            </w:r>
          </w:p>
        </w:tc>
        <w:tc>
          <w:tcPr>
            <w:tcW w:w="850" w:type="dxa"/>
            <w:vAlign w:val="center"/>
          </w:tcPr>
          <w:p w14:paraId="3E4DFC2A">
            <w:pPr>
              <w:tabs>
                <w:tab w:val="left" w:pos="709"/>
              </w:tabs>
              <w:jc w:val="center"/>
              <w:rPr>
                <w:b/>
                <w:sz w:val="22"/>
                <w:lang w:val="uz-Cyrl-UZ"/>
              </w:rPr>
            </w:pPr>
            <w:r>
              <w:rPr>
                <w:b/>
                <w:sz w:val="22"/>
                <w:lang w:val="uz-Cyrl-UZ"/>
              </w:rPr>
              <w:t>Soni</w:t>
            </w:r>
          </w:p>
        </w:tc>
        <w:tc>
          <w:tcPr>
            <w:tcW w:w="1468" w:type="dxa"/>
            <w:vAlign w:val="center"/>
          </w:tcPr>
          <w:p w14:paraId="7B3CB04B">
            <w:pPr>
              <w:tabs>
                <w:tab w:val="left" w:pos="709"/>
              </w:tabs>
              <w:jc w:val="center"/>
              <w:rPr>
                <w:b/>
                <w:sz w:val="22"/>
                <w:lang w:val="uz-Cyrl-UZ"/>
              </w:rPr>
            </w:pPr>
            <w:r>
              <w:rPr>
                <w:b/>
                <w:sz w:val="22"/>
                <w:lang w:val="uz-Cyrl-UZ"/>
              </w:rPr>
              <w:t>Narxi</w:t>
            </w:r>
          </w:p>
          <w:p w14:paraId="79F67A37">
            <w:pPr>
              <w:tabs>
                <w:tab w:val="left" w:pos="709"/>
              </w:tabs>
              <w:jc w:val="center"/>
              <w:rPr>
                <w:b/>
                <w:sz w:val="22"/>
                <w:lang w:val="uz-Cyrl-UZ"/>
              </w:rPr>
            </w:pPr>
            <w:r>
              <w:rPr>
                <w:b/>
                <w:sz w:val="22"/>
                <w:lang w:val="uz-Cyrl-UZ"/>
              </w:rPr>
              <w:t>(so‘m)</w:t>
            </w:r>
          </w:p>
        </w:tc>
        <w:tc>
          <w:tcPr>
            <w:tcW w:w="1468" w:type="dxa"/>
            <w:vAlign w:val="center"/>
          </w:tcPr>
          <w:p w14:paraId="29DD602B">
            <w:pPr>
              <w:tabs>
                <w:tab w:val="left" w:pos="709"/>
              </w:tabs>
              <w:jc w:val="center"/>
              <w:rPr>
                <w:b/>
                <w:sz w:val="22"/>
                <w:lang w:val="uz-Cyrl-UZ"/>
              </w:rPr>
            </w:pPr>
            <w:r>
              <w:rPr>
                <w:b/>
                <w:sz w:val="22"/>
                <w:lang w:val="uz-Cyrl-UZ"/>
              </w:rPr>
              <w:t>Bahosi</w:t>
            </w:r>
          </w:p>
          <w:p w14:paraId="29FE03E9">
            <w:pPr>
              <w:tabs>
                <w:tab w:val="left" w:pos="709"/>
              </w:tabs>
              <w:jc w:val="center"/>
              <w:rPr>
                <w:b/>
                <w:sz w:val="22"/>
                <w:lang w:val="uz-Cyrl-UZ"/>
              </w:rPr>
            </w:pPr>
            <w:r>
              <w:rPr>
                <w:b/>
                <w:sz w:val="22"/>
                <w:lang w:val="uz-Cyrl-UZ"/>
              </w:rPr>
              <w:t>(so‘m)</w:t>
            </w:r>
          </w:p>
        </w:tc>
        <w:tc>
          <w:tcPr>
            <w:tcW w:w="1033" w:type="dxa"/>
            <w:vAlign w:val="center"/>
          </w:tcPr>
          <w:p w14:paraId="6B817883">
            <w:pPr>
              <w:tabs>
                <w:tab w:val="left" w:pos="709"/>
              </w:tabs>
              <w:jc w:val="center"/>
              <w:rPr>
                <w:b/>
                <w:sz w:val="22"/>
                <w:lang w:val="uz-Cyrl-UZ"/>
              </w:rPr>
            </w:pPr>
            <w:r>
              <w:rPr>
                <w:b/>
                <w:sz w:val="22"/>
                <w:lang w:val="uz-Cyrl-UZ"/>
              </w:rPr>
              <w:t>QQS</w:t>
            </w:r>
          </w:p>
        </w:tc>
        <w:tc>
          <w:tcPr>
            <w:tcW w:w="1468" w:type="dxa"/>
            <w:vAlign w:val="center"/>
          </w:tcPr>
          <w:p w14:paraId="153A36D8">
            <w:pPr>
              <w:tabs>
                <w:tab w:val="left" w:pos="709"/>
              </w:tabs>
              <w:jc w:val="center"/>
              <w:rPr>
                <w:b/>
                <w:sz w:val="22"/>
                <w:lang w:val="uz-Cyrl-UZ"/>
              </w:rPr>
            </w:pPr>
            <w:r>
              <w:rPr>
                <w:b/>
                <w:sz w:val="22"/>
                <w:lang w:val="uz-Cyrl-UZ"/>
              </w:rPr>
              <w:t>Umumiy narxi</w:t>
            </w:r>
          </w:p>
          <w:p w14:paraId="1B807DA3">
            <w:pPr>
              <w:tabs>
                <w:tab w:val="left" w:pos="709"/>
              </w:tabs>
              <w:jc w:val="center"/>
              <w:rPr>
                <w:b/>
                <w:sz w:val="22"/>
                <w:lang w:val="uz-Cyrl-UZ"/>
              </w:rPr>
            </w:pPr>
            <w:r>
              <w:rPr>
                <w:b/>
                <w:sz w:val="22"/>
                <w:lang w:val="uz-Cyrl-UZ"/>
              </w:rPr>
              <w:t>(so‘m)</w:t>
            </w:r>
          </w:p>
        </w:tc>
      </w:tr>
      <w:tr w14:paraId="1A5A3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675" w:type="dxa"/>
            <w:vAlign w:val="center"/>
          </w:tcPr>
          <w:p w14:paraId="5D4D7ACB">
            <w:pPr>
              <w:tabs>
                <w:tab w:val="left" w:pos="709"/>
              </w:tabs>
              <w:jc w:val="center"/>
              <w:rPr>
                <w:sz w:val="22"/>
                <w:lang w:val="uz-Cyrl-UZ"/>
              </w:rPr>
            </w:pPr>
            <w:r>
              <w:rPr>
                <w:sz w:val="22"/>
                <w:lang w:val="uz-Cyrl-UZ"/>
              </w:rPr>
              <w:t>1.</w:t>
            </w:r>
          </w:p>
        </w:tc>
        <w:tc>
          <w:tcPr>
            <w:tcW w:w="2410" w:type="dxa"/>
            <w:vAlign w:val="center"/>
          </w:tcPr>
          <w:p w14:paraId="79FBC74B">
            <w:pPr>
              <w:tabs>
                <w:tab w:val="left" w:pos="709"/>
              </w:tabs>
              <w:jc w:val="center"/>
              <w:rPr>
                <w:sz w:val="22"/>
                <w:lang w:val="en-US"/>
              </w:rPr>
            </w:pPr>
            <w:r>
              <w:rPr>
                <w:sz w:val="22"/>
                <w:lang w:val="uz-Cyrl-UZ"/>
              </w:rPr>
              <w:t>Zal</w:t>
            </w:r>
            <w:r>
              <w:rPr>
                <w:sz w:val="22"/>
                <w:lang w:val="en-US"/>
              </w:rPr>
              <w:t xml:space="preserve"> kommunal to‘lovlari</w:t>
            </w:r>
            <w:r>
              <w:rPr>
                <w:sz w:val="22"/>
                <w:lang w:val="uz-Cyrl-UZ"/>
              </w:rPr>
              <w:t xml:space="preserve"> </w:t>
            </w:r>
          </w:p>
          <w:p w14:paraId="2A9E62B7">
            <w:pPr>
              <w:tabs>
                <w:tab w:val="left" w:pos="709"/>
              </w:tabs>
              <w:jc w:val="center"/>
              <w:rPr>
                <w:sz w:val="22"/>
                <w:lang w:val="uz-Cyrl-UZ"/>
              </w:rPr>
            </w:pPr>
            <w:r>
              <w:rPr>
                <w:sz w:val="22"/>
                <w:lang w:val="uz-Cyrl-UZ"/>
              </w:rPr>
              <w:t xml:space="preserve"> (tasvirga olish</w:t>
            </w:r>
            <w:r>
              <w:rPr>
                <w:sz w:val="22"/>
                <w:lang w:val="uz-Latn-UZ"/>
              </w:rPr>
              <w:t xml:space="preserve"> va konsert</w:t>
            </w:r>
            <w:r>
              <w:rPr>
                <w:sz w:val="22"/>
                <w:lang w:val="en-US"/>
              </w:rPr>
              <w:t xml:space="preserve"> kunlari uchun</w:t>
            </w:r>
            <w:r>
              <w:rPr>
                <w:sz w:val="22"/>
                <w:lang w:val="uz-Cyrl-UZ"/>
              </w:rPr>
              <w:t>)</w:t>
            </w:r>
          </w:p>
        </w:tc>
        <w:tc>
          <w:tcPr>
            <w:tcW w:w="1134" w:type="dxa"/>
            <w:vAlign w:val="center"/>
          </w:tcPr>
          <w:p w14:paraId="16240D4C">
            <w:pPr>
              <w:tabs>
                <w:tab w:val="left" w:pos="709"/>
              </w:tabs>
              <w:jc w:val="center"/>
              <w:rPr>
                <w:sz w:val="22"/>
                <w:lang w:val="en-US"/>
              </w:rPr>
            </w:pPr>
            <w:r>
              <w:rPr>
                <w:sz w:val="22"/>
                <w:lang w:val="en-US"/>
              </w:rPr>
              <w:t>kun</w:t>
            </w:r>
          </w:p>
        </w:tc>
        <w:tc>
          <w:tcPr>
            <w:tcW w:w="850" w:type="dxa"/>
            <w:vAlign w:val="center"/>
          </w:tcPr>
          <w:p w14:paraId="3AA219AD">
            <w:pPr>
              <w:tabs>
                <w:tab w:val="left" w:pos="709"/>
              </w:tabs>
              <w:jc w:val="center"/>
              <w:rPr>
                <w:b/>
                <w:bCs/>
                <w:color w:val="0000FF"/>
                <w:sz w:val="22"/>
                <w:highlight w:val="cyan"/>
                <w:lang w:val="en-US"/>
              </w:rPr>
            </w:pPr>
            <w:r>
              <w:rPr>
                <w:sz w:val="22"/>
                <w:lang w:val="en-US"/>
              </w:rPr>
              <w:t>{{ hall_days }}</w:t>
            </w:r>
          </w:p>
        </w:tc>
        <w:tc>
          <w:tcPr>
            <w:tcW w:w="1468" w:type="dxa"/>
            <w:vAlign w:val="center"/>
          </w:tcPr>
          <w:p w14:paraId="34AE5220">
            <w:pPr>
              <w:tabs>
                <w:tab w:val="left" w:pos="709"/>
              </w:tabs>
              <w:jc w:val="center"/>
              <w:rPr>
                <w:b/>
                <w:bCs/>
                <w:color w:val="0000FF"/>
                <w:sz w:val="22"/>
                <w:highlight w:val="cyan"/>
                <w:lang w:val="en-US"/>
              </w:rPr>
            </w:pPr>
            <w:r>
              <w:rPr>
                <w:sz w:val="22"/>
                <w:lang w:val="en-US"/>
              </w:rPr>
              <w:t>{{ hall_price }}</w:t>
            </w:r>
          </w:p>
        </w:tc>
        <w:tc>
          <w:tcPr>
            <w:tcW w:w="1468" w:type="dxa"/>
            <w:vAlign w:val="center"/>
          </w:tcPr>
          <w:p w14:paraId="01487960">
            <w:pPr>
              <w:tabs>
                <w:tab w:val="left" w:pos="709"/>
              </w:tabs>
              <w:jc w:val="center"/>
              <w:rPr>
                <w:b/>
                <w:bCs/>
                <w:color w:val="0000FF"/>
                <w:sz w:val="22"/>
                <w:highlight w:val="cyan"/>
                <w:lang w:val="en-US"/>
              </w:rPr>
            </w:pPr>
            <w:r>
              <w:rPr>
                <w:sz w:val="22"/>
                <w:lang w:val="en-US"/>
              </w:rPr>
              <w:t>{{ total_sum }}</w:t>
            </w:r>
          </w:p>
        </w:tc>
        <w:tc>
          <w:tcPr>
            <w:tcW w:w="1033" w:type="dxa"/>
            <w:vAlign w:val="center"/>
          </w:tcPr>
          <w:p w14:paraId="609C950E">
            <w:pPr>
              <w:tabs>
                <w:tab w:val="left" w:pos="709"/>
              </w:tabs>
              <w:jc w:val="center"/>
              <w:rPr>
                <w:sz w:val="22"/>
                <w:lang w:val="en-US"/>
              </w:rPr>
            </w:pPr>
            <w:r>
              <w:rPr>
                <w:sz w:val="22"/>
                <w:lang w:val="en-US"/>
              </w:rPr>
              <w:t>QQSsiz</w:t>
            </w:r>
          </w:p>
        </w:tc>
        <w:tc>
          <w:tcPr>
            <w:tcW w:w="1468" w:type="dxa"/>
            <w:vAlign w:val="center"/>
          </w:tcPr>
          <w:p w14:paraId="16FEF807">
            <w:pPr>
              <w:tabs>
                <w:tab w:val="left" w:pos="709"/>
              </w:tabs>
              <w:jc w:val="center"/>
              <w:rPr>
                <w:sz w:val="22"/>
                <w:lang w:val="en-US"/>
              </w:rPr>
            </w:pPr>
            <w:r>
              <w:rPr>
                <w:sz w:val="22"/>
                <w:lang w:val="en-US"/>
              </w:rPr>
              <w:t>{{ total_sum }}</w:t>
            </w:r>
          </w:p>
        </w:tc>
      </w:tr>
    </w:tbl>
    <w:p w14:paraId="1E25368A">
      <w:pPr>
        <w:tabs>
          <w:tab w:val="left" w:pos="851"/>
        </w:tabs>
        <w:rPr>
          <w:sz w:val="16"/>
          <w:szCs w:val="16"/>
          <w:lang w:val="uz-Cyrl-UZ"/>
        </w:rPr>
      </w:pPr>
    </w:p>
    <w:p w14:paraId="35FAD9F3">
      <w:pPr>
        <w:tabs>
          <w:tab w:val="left" w:pos="0"/>
        </w:tabs>
        <w:rPr>
          <w:b/>
          <w:sz w:val="24"/>
          <w:szCs w:val="24"/>
          <w:lang w:val="uz-Cyrl-UZ"/>
        </w:rPr>
      </w:pPr>
      <w:r>
        <w:rPr>
          <w:b/>
          <w:sz w:val="24"/>
          <w:szCs w:val="24"/>
          <w:lang w:val="uz-Cyrl-UZ"/>
        </w:rPr>
        <w:tab/>
      </w:r>
      <w:r>
        <w:rPr>
          <w:b/>
          <w:sz w:val="24"/>
          <w:szCs w:val="24"/>
          <w:lang w:val="uz-Cyrl-UZ"/>
        </w:rPr>
        <w:t xml:space="preserve">Shartnomaning umumiy qiymati: </w:t>
      </w:r>
      <w:r>
        <w:rPr>
          <w:b/>
          <w:sz w:val="24"/>
          <w:szCs w:val="24"/>
          <w:lang w:val="en-US"/>
        </w:rPr>
        <w:t>{{ total_text }}</w:t>
      </w:r>
      <w:r>
        <w:rPr>
          <w:b/>
          <w:sz w:val="24"/>
          <w:szCs w:val="24"/>
          <w:lang w:val="uz-Cyrl-UZ"/>
        </w:rPr>
        <w:t xml:space="preserve"> so‘m.</w:t>
      </w:r>
    </w:p>
    <w:p w14:paraId="16A43A7E">
      <w:pPr>
        <w:numPr>
          <w:ilvl w:val="0"/>
          <w:numId w:val="2"/>
        </w:numPr>
        <w:jc w:val="center"/>
        <w:rPr>
          <w:sz w:val="26"/>
          <w:szCs w:val="26"/>
          <w:lang w:val="uz-Cyrl-UZ"/>
        </w:rPr>
      </w:pPr>
      <w:r>
        <w:rPr>
          <w:b/>
          <w:sz w:val="26"/>
          <w:szCs w:val="26"/>
          <w:lang w:val="uz-Cyrl-UZ"/>
        </w:rPr>
        <w:t>To‘lov shartlari</w:t>
      </w:r>
    </w:p>
    <w:p w14:paraId="70A11836">
      <w:pPr>
        <w:numPr>
          <w:ilvl w:val="1"/>
          <w:numId w:val="2"/>
        </w:numPr>
        <w:tabs>
          <w:tab w:val="left" w:pos="1134"/>
        </w:tabs>
        <w:ind w:left="0" w:firstLine="567"/>
        <w:rPr>
          <w:sz w:val="24"/>
          <w:szCs w:val="24"/>
          <w:lang w:val="uz-Cyrl-UZ"/>
        </w:rPr>
      </w:pPr>
      <w:r>
        <w:rPr>
          <w:sz w:val="24"/>
          <w:szCs w:val="24"/>
          <w:lang w:val="uz-Cyrl-UZ"/>
        </w:rPr>
        <w:t>“IJARACHI” ijara to‘lovini pul o‘tkazish orqali to‘laydi.</w:t>
      </w:r>
    </w:p>
    <w:p w14:paraId="132B6D56">
      <w:pPr>
        <w:numPr>
          <w:ilvl w:val="1"/>
          <w:numId w:val="2"/>
        </w:numPr>
        <w:tabs>
          <w:tab w:val="left" w:pos="1134"/>
        </w:tabs>
        <w:ind w:left="0" w:firstLine="567"/>
        <w:rPr>
          <w:sz w:val="24"/>
          <w:szCs w:val="24"/>
          <w:lang w:val="uz-Cyrl-UZ"/>
        </w:rPr>
      </w:pPr>
      <w:r>
        <w:rPr>
          <w:sz w:val="24"/>
          <w:szCs w:val="24"/>
          <w:lang w:val="uz-Cyrl-UZ"/>
        </w:rPr>
        <w:t>“IJARACHI” shartnoma tuzilgan kundan boshlab 5 kun ichida budjet tashkilotlari uchun shartnoma umumiy qiymatining 30%, boshqa tashkilotlar uchun shartnoma umumiy qiymatining                 50% miqdorida oldindan to‘lovni amalga oshirishi shart.</w:t>
      </w:r>
    </w:p>
    <w:p w14:paraId="6230D55E">
      <w:pPr>
        <w:numPr>
          <w:ilvl w:val="1"/>
          <w:numId w:val="2"/>
        </w:numPr>
        <w:tabs>
          <w:tab w:val="left" w:pos="1134"/>
        </w:tabs>
        <w:ind w:left="0" w:firstLine="567"/>
        <w:rPr>
          <w:sz w:val="24"/>
          <w:szCs w:val="24"/>
          <w:lang w:val="uz-Cyrl-UZ"/>
        </w:rPr>
      </w:pPr>
      <w:r>
        <w:rPr>
          <w:sz w:val="24"/>
          <w:szCs w:val="24"/>
          <w:lang w:val="uz-Cyrl-UZ"/>
        </w:rPr>
        <w:t>“IJARACHI”ning aybi bilan konsert bekor qilingan taqdirda, “IJARACHI”, “IJARAGA BЕRUVCHI”ga yozma ravishda bekor qilinganligi haqida xabar beradi va “IJARACHI” tomonidan                30% (50%) miqdorida to‘langan oldindan to‘lov “IJARAGA BЕRUVCHI”ning hisobida qoladi. “IJARACHI”ning aybi bilan konsertning buzilganligi uchun “IJARACHI” tomoshabinlar oldida sotilgan chiptalar uchun javobgardir.</w:t>
      </w:r>
    </w:p>
    <w:p w14:paraId="7069AEA3">
      <w:pPr>
        <w:numPr>
          <w:ilvl w:val="1"/>
          <w:numId w:val="2"/>
        </w:numPr>
        <w:tabs>
          <w:tab w:val="left" w:pos="1134"/>
        </w:tabs>
        <w:ind w:left="0" w:firstLine="567"/>
        <w:rPr>
          <w:sz w:val="24"/>
          <w:szCs w:val="24"/>
          <w:lang w:val="uz-Cyrl-UZ"/>
        </w:rPr>
      </w:pPr>
      <w:r>
        <w:rPr>
          <w:sz w:val="24"/>
          <w:szCs w:val="24"/>
          <w:lang w:val="uz-Cyrl-UZ"/>
        </w:rPr>
        <w:t>“IJARACHI”, “Ommaviy tadbirlarni o‘tkazish qoidalari” talablari va O‘zbekiston Respublikasi Vazirlar Mahkamasining 04.04.2019-yildagi 559-sonli qarori bilan kiritilgan o‘zgartirishlarga muvofiq, har bir tadbir uchun “bepul” yozuvli 32 ta chiptani to‘lovsiz ajratadi:                        2-qatordagi 18-21 joylar, 8-qatordagi 20-21 joylar, 14-qatordagi 14-17 joylar Davlat xavfsizlik xizmati vakillari uchun, 9-qatordagi 9-11 hamda 28-30 joylar Prokuratura vakillari uchun, 9-qatordagi                     14-25 joylar Davlat tuzilmalari, vazirliklar va idoralar mehmonlari uchun, shuningdek, “IJARAGA BЕRUVCHI” 9-qatordagi 12-13 hamda 26-27 joylarning chiptalarini “IJARACHI”dan sotish huquqisiz band qilib qo‘yadi. Mazkur joylarga ehtiyoj bo‘lmagan taqdirda “IJARAGA BЕRUVCHI” tadbir boshlanishidan 5 kun oldin bandlovni olib tashlaydi.</w:t>
      </w:r>
    </w:p>
    <w:p w14:paraId="7745DFE0">
      <w:pPr>
        <w:numPr>
          <w:ilvl w:val="1"/>
          <w:numId w:val="2"/>
        </w:numPr>
        <w:tabs>
          <w:tab w:val="left" w:pos="1134"/>
        </w:tabs>
        <w:ind w:left="0" w:firstLine="567"/>
        <w:rPr>
          <w:sz w:val="24"/>
          <w:szCs w:val="24"/>
          <w:lang w:val="uz-Cyrl-UZ"/>
        </w:rPr>
      </w:pPr>
      <w:r>
        <w:rPr>
          <w:sz w:val="24"/>
          <w:szCs w:val="24"/>
          <w:lang w:val="uz-Cyrl-UZ"/>
        </w:rPr>
        <w:t>Ijara to‘lovi kechiktirilgan taqdirda (konsert o‘tkazilgan kunning ertasi), “IJARAGA BЕRUVCHI” har bir kechiktirilgan to‘lov kuni uchun belgilangan summaning  0,5% jarimasini oladi, lekin jarima umumiy qarz qiymatining 50% dan oshmaydi.</w:t>
      </w:r>
    </w:p>
    <w:p w14:paraId="3E156BBE">
      <w:pPr>
        <w:numPr>
          <w:ilvl w:val="0"/>
          <w:numId w:val="2"/>
        </w:numPr>
        <w:spacing w:after="120"/>
        <w:jc w:val="center"/>
        <w:rPr>
          <w:sz w:val="26"/>
          <w:szCs w:val="26"/>
          <w:lang w:val="uz-Cyrl-UZ"/>
        </w:rPr>
      </w:pPr>
      <w:r>
        <w:rPr>
          <w:b/>
          <w:sz w:val="26"/>
          <w:szCs w:val="26"/>
          <w:lang w:val="uz-Cyrl-UZ"/>
        </w:rPr>
        <w:t>Tomonlarning majburiyatlari</w:t>
      </w:r>
    </w:p>
    <w:p w14:paraId="5F7BBC2F">
      <w:pPr>
        <w:numPr>
          <w:ilvl w:val="1"/>
          <w:numId w:val="2"/>
        </w:numPr>
        <w:tabs>
          <w:tab w:val="left" w:pos="1134"/>
        </w:tabs>
        <w:ind w:left="0" w:firstLine="567"/>
        <w:rPr>
          <w:sz w:val="24"/>
          <w:szCs w:val="24"/>
          <w:lang w:val="uz-Cyrl-UZ"/>
        </w:rPr>
      </w:pPr>
      <w:r>
        <w:rPr>
          <w:sz w:val="24"/>
          <w:szCs w:val="24"/>
          <w:lang w:val="uz-Cyrl-UZ"/>
        </w:rPr>
        <w:t>“IJARACHI” afishalarni tuzilgan ijara shartnomasiga binoan maxsus ajratilgan joylarga joylashtiradi. “Saroy” binosining ichki va tashqi tomonidan eshik va derazalarga afishalar joylashtirish qat’iyan man etiladi.</w:t>
      </w:r>
    </w:p>
    <w:p w14:paraId="5D228825">
      <w:pPr>
        <w:numPr>
          <w:ilvl w:val="1"/>
          <w:numId w:val="2"/>
        </w:numPr>
        <w:tabs>
          <w:tab w:val="left" w:pos="1134"/>
        </w:tabs>
        <w:ind w:left="0" w:firstLine="567"/>
        <w:rPr>
          <w:sz w:val="24"/>
          <w:szCs w:val="24"/>
          <w:lang w:val="uz-Cyrl-UZ"/>
        </w:rPr>
      </w:pPr>
      <w:r>
        <w:rPr>
          <w:sz w:val="24"/>
          <w:szCs w:val="24"/>
          <w:lang w:val="uz-Cyrl-UZ"/>
        </w:rPr>
        <w:t>“IJARACHI”, “IJARAGA BЕRUVCHI”ga Ommaviy tadbirlar o‘tkazilishini nazorat qilish komissiyasi tomonidan berilgan ruxsatnomaning nusxasini taqdim etmagan taqdirda, “Saroy”da konsert-tomosha tadbiri o‘tkazilishiga ruxsat berilmaydi.</w:t>
      </w:r>
    </w:p>
    <w:p w14:paraId="3F8A4B81">
      <w:pPr>
        <w:numPr>
          <w:ilvl w:val="1"/>
          <w:numId w:val="2"/>
        </w:numPr>
        <w:tabs>
          <w:tab w:val="left" w:pos="1134"/>
        </w:tabs>
        <w:ind w:left="0" w:firstLine="567"/>
        <w:rPr>
          <w:sz w:val="24"/>
          <w:szCs w:val="24"/>
          <w:lang w:val="uz-Cyrl-UZ"/>
        </w:rPr>
      </w:pPr>
      <w:r>
        <w:rPr>
          <w:sz w:val="24"/>
          <w:szCs w:val="24"/>
          <w:lang w:val="uz-Cyrl-UZ"/>
        </w:rPr>
        <w:t>“IJARACHI” ish jarayonida foydalanadigan mulk, jihoz va asbob-uskunalar, shuningdek, xonalardagi uskunalar uchun to‘liq moddiy javobgarlikni o‘z zimmasiga oladi. Mulk va uskunalarga zarar yetgan taqdirda zararni to‘liq qoplab beradi.</w:t>
      </w:r>
    </w:p>
    <w:p w14:paraId="7955A327">
      <w:pPr>
        <w:numPr>
          <w:ilvl w:val="1"/>
          <w:numId w:val="2"/>
        </w:numPr>
        <w:tabs>
          <w:tab w:val="left" w:pos="1134"/>
        </w:tabs>
        <w:ind w:left="0" w:firstLine="567"/>
        <w:rPr>
          <w:sz w:val="24"/>
          <w:szCs w:val="24"/>
          <w:lang w:val="uz-Cyrl-UZ"/>
        </w:rPr>
      </w:pPr>
      <w:r>
        <w:rPr>
          <w:sz w:val="24"/>
          <w:szCs w:val="24"/>
          <w:lang w:val="uz-Cyrl-UZ"/>
        </w:rPr>
        <w:t>Konsertlar tugagandan so‘ng, barcha rekvizitlar, sahna bezaklari, uskunalar 2 kun ichida olib ketilishi shart. Yuqoridagi anjomlar o‘z vaqtida olib ketilmagan taqdirda, “IJARAGA BЕRUVCHI” ularning xavfsizligi uchun javobgarlikni o‘z zimmasiga olmaydi.</w:t>
      </w:r>
    </w:p>
    <w:p w14:paraId="530CAD6A">
      <w:pPr>
        <w:numPr>
          <w:ilvl w:val="1"/>
          <w:numId w:val="2"/>
        </w:numPr>
        <w:tabs>
          <w:tab w:val="left" w:pos="1134"/>
        </w:tabs>
        <w:ind w:left="0" w:firstLine="567"/>
        <w:rPr>
          <w:sz w:val="24"/>
          <w:szCs w:val="24"/>
          <w:lang w:val="uz-Cyrl-UZ"/>
        </w:rPr>
      </w:pPr>
      <w:r>
        <w:rPr>
          <w:sz w:val="24"/>
          <w:szCs w:val="24"/>
          <w:lang w:val="uz-Cyrl-UZ"/>
        </w:rPr>
        <w:t>Konsertning barcha ishtirokchilari, tadbirning texnik va xizmat ko‘rsatuvchi xodimlari “Saroy”ning ichki qoidalari va yong‘in xavfsizligi qoidalariga rioya qilishlari shart. “Saroy” binosida tartib, “Saroy” xavfsizlik xizmati tomonidan amalga oshiriladi. Tadbir davomida “Saroy”ning barcha xizmatlari faoliyati kuchaytirilgan tartibda amalga oshiriladi.</w:t>
      </w:r>
    </w:p>
    <w:p w14:paraId="0CAE4124">
      <w:pPr>
        <w:numPr>
          <w:ilvl w:val="1"/>
          <w:numId w:val="2"/>
        </w:numPr>
        <w:tabs>
          <w:tab w:val="left" w:pos="1134"/>
        </w:tabs>
        <w:ind w:left="0" w:firstLine="567"/>
        <w:rPr>
          <w:sz w:val="24"/>
          <w:szCs w:val="24"/>
          <w:lang w:val="uz-Cyrl-UZ"/>
        </w:rPr>
      </w:pPr>
      <w:r>
        <w:rPr>
          <w:sz w:val="24"/>
          <w:szCs w:val="24"/>
          <w:lang w:val="uz-Cyrl-UZ"/>
        </w:rPr>
        <w:t>O‘rnatilayotgan elektr jihozlari standart talablarga javob berishi va tegishli hujjatlarga ega bo‘lishi lozim. “Saroy”ga olib kelinadigan barcha sahna bezaklari, uskunalar va boshqa texnik vositalar “Saroy” xavfsizlik xizmati xodimlari tomonidan sinchiklab tekshiriladi va ular “IJARACHI” tomonidan tasdiqlagan ro‘yxat bo‘yicha kiritiladi.</w:t>
      </w:r>
    </w:p>
    <w:p w14:paraId="2DAF20AB">
      <w:pPr>
        <w:numPr>
          <w:ilvl w:val="1"/>
          <w:numId w:val="2"/>
        </w:numPr>
        <w:tabs>
          <w:tab w:val="left" w:pos="1134"/>
        </w:tabs>
        <w:ind w:left="0" w:firstLine="567"/>
        <w:rPr>
          <w:sz w:val="24"/>
          <w:szCs w:val="24"/>
          <w:lang w:val="uz-Cyrl-UZ"/>
        </w:rPr>
      </w:pPr>
      <w:r>
        <w:rPr>
          <w:sz w:val="24"/>
          <w:szCs w:val="24"/>
          <w:lang w:val="uz-Cyrl-UZ"/>
        </w:rPr>
        <w:t>Olib kelinadigan barcha sahna dekoratsiyalari olovga chidamli birikma bilan singdirilgan bo‘lishi va buning uchun ular tegishli hujjatga ega bo‘lishi lozim. Qayd etilgan hujjatlar bo‘lmagan taqdiprda, dekoratsiyalar “Saroy”ga kiritilmaydi. Ochiq olov, pirotexnika vositalari, har xil effektlardan foydalanish taqiqlanadi. (O‘zbekiston Respublikasi Vazirlar Mahkamasining 20.10.2020-yildagi                   649-sonli “Yong‘in xavfsizligi qoidalarini tasdiqlash to‘g‘risida”gi qarorining 30-bobi (Madaniy-ma’rifiy, tomosha va sport obyektlariga qo‘yiladigan yong‘in xavfsizligi talablari.)</w:t>
      </w:r>
    </w:p>
    <w:p w14:paraId="3BCCCD98">
      <w:pPr>
        <w:numPr>
          <w:ilvl w:val="1"/>
          <w:numId w:val="2"/>
        </w:numPr>
        <w:tabs>
          <w:tab w:val="left" w:pos="1134"/>
        </w:tabs>
        <w:ind w:left="0" w:firstLine="567"/>
        <w:rPr>
          <w:sz w:val="24"/>
          <w:szCs w:val="24"/>
          <w:lang w:val="uz-Cyrl-UZ"/>
        </w:rPr>
      </w:pPr>
      <w:r>
        <w:rPr>
          <w:sz w:val="24"/>
          <w:szCs w:val="24"/>
          <w:lang w:val="uz-Cyrl-UZ"/>
        </w:rPr>
        <w:t>“IJARAGA BЕRUVCHI”, “IJARACHI”ning rekvizitlari va mol-mulki, shuningdek, tadbir ishtirokchilarining shaxsiy mulki xavfsizligi uchun javobgar emas.</w:t>
      </w:r>
    </w:p>
    <w:p w14:paraId="358DCD0D">
      <w:pPr>
        <w:numPr>
          <w:ilvl w:val="1"/>
          <w:numId w:val="2"/>
        </w:numPr>
        <w:tabs>
          <w:tab w:val="left" w:pos="1134"/>
        </w:tabs>
        <w:ind w:left="0" w:firstLine="567"/>
        <w:rPr>
          <w:sz w:val="24"/>
          <w:szCs w:val="24"/>
          <w:lang w:val="uz-Cyrl-UZ"/>
        </w:rPr>
      </w:pPr>
      <w:r>
        <w:rPr>
          <w:sz w:val="24"/>
          <w:szCs w:val="24"/>
          <w:lang w:val="uz-Cyrl-UZ"/>
        </w:rPr>
        <w:t>Konsert boshlanishidan 5 kun oldin “IJARACHI”, “IJARAGA BЕRUVCHI”ga konsertning barcha ishtirokchilarining tug‘ilgan kuni, ismi-sharifi (to‘liq ismi), yashash joyi manzili va pasport ma’lumotlari to‘liq ko‘rsatilgan ro‘yxatni taqdim etishi shart. Agar yuqoridagi ma’lumotlar taqdim etilmagan bo‘lsa, “IJARAGA BЕRUVCHI” konsert ishtirokchilarini “Saroy” binosiga kiritilmaslikka haqli, bundan kelib chiqadigan oqibatlar uchun “IJARACHI” javobgar bo‘ladi.</w:t>
      </w:r>
    </w:p>
    <w:p w14:paraId="5F7E0C85">
      <w:pPr>
        <w:numPr>
          <w:ilvl w:val="1"/>
          <w:numId w:val="2"/>
        </w:numPr>
        <w:tabs>
          <w:tab w:val="left" w:pos="1134"/>
        </w:tabs>
        <w:ind w:left="0" w:firstLine="567"/>
        <w:rPr>
          <w:sz w:val="24"/>
          <w:szCs w:val="24"/>
          <w:lang w:val="uz-Cyrl-UZ"/>
        </w:rPr>
      </w:pPr>
      <w:r>
        <w:rPr>
          <w:sz w:val="24"/>
          <w:szCs w:val="24"/>
          <w:lang w:val="uz-Cyrl-UZ"/>
        </w:rPr>
        <w:t>“Saroy” sahnasida ijro etiladigan repertuarining mafkuraviy-badiiy sifati, ishtirokchilar tarkibining o‘zgarishi uchun javobgarlikni “IJARACHI” o‘z zimmasiga oladi va tomoshabin tomonidan sotib olingan chiptalar uchun sarflangan harajatlarni amaldagi qonun hujjatlariga muvofiq to‘liq qoplab beradi.</w:t>
      </w:r>
    </w:p>
    <w:p w14:paraId="50D9A066">
      <w:pPr>
        <w:numPr>
          <w:ilvl w:val="1"/>
          <w:numId w:val="2"/>
        </w:numPr>
        <w:tabs>
          <w:tab w:val="left" w:pos="1134"/>
        </w:tabs>
        <w:ind w:left="0" w:firstLine="567"/>
        <w:rPr>
          <w:sz w:val="24"/>
          <w:szCs w:val="24"/>
          <w:lang w:val="uz-Cyrl-UZ"/>
        </w:rPr>
      </w:pPr>
      <w:r>
        <w:rPr>
          <w:sz w:val="24"/>
          <w:szCs w:val="24"/>
          <w:lang w:val="uz-Cyrl-UZ"/>
        </w:rPr>
        <w:t>Konsert davomida “Saroy”ning markaziy eshiklari tashqarisida chiptasiz tomoshabinlarni aniqlashni nazorat qilish uchun har bir eshik oldida bir kishi va “Saroy” ma’muriy binosiga kiraverishda bir kishi hisobidan “IJARACHI” taqdim etgan ro‘yxatlar bo‘yicha tadbir ishtirokchilarini kiritishni nazorat qiluvchi nazoratchilarni jalb qilish faqat “IJARAGA BЕRUVCHI”ning ruxsati bilan amalga oshiriladi. Tashqi nazoratchilarning ro‘yxati ushbu shartnomaning 4.8. bandiga muvofiq barcha ma’lumotlarni ko‘rsatgan holda “IJARAGA BЕRUVCHI”ga tadbir boshlanishidan 10 kundan kechiktirmay taqdim etilishi kerak.</w:t>
      </w:r>
    </w:p>
    <w:p w14:paraId="61D14F29">
      <w:pPr>
        <w:numPr>
          <w:ilvl w:val="0"/>
          <w:numId w:val="2"/>
        </w:numPr>
        <w:spacing w:after="120"/>
        <w:jc w:val="center"/>
        <w:rPr>
          <w:sz w:val="26"/>
          <w:szCs w:val="26"/>
          <w:lang w:val="uz-Cyrl-UZ"/>
        </w:rPr>
      </w:pPr>
      <w:r>
        <w:rPr>
          <w:b/>
          <w:sz w:val="26"/>
          <w:szCs w:val="26"/>
          <w:lang w:val="uz-Cyrl-UZ"/>
        </w:rPr>
        <w:t>Xo‘jalik nizolarini ko‘rib chiqish tartibi</w:t>
      </w:r>
    </w:p>
    <w:p w14:paraId="26CD2E71">
      <w:pPr>
        <w:numPr>
          <w:ilvl w:val="1"/>
          <w:numId w:val="2"/>
        </w:numPr>
        <w:tabs>
          <w:tab w:val="left" w:pos="1134"/>
        </w:tabs>
        <w:ind w:left="0" w:firstLine="567"/>
        <w:rPr>
          <w:sz w:val="24"/>
          <w:szCs w:val="24"/>
          <w:lang w:val="uz-Cyrl-UZ"/>
        </w:rPr>
      </w:pPr>
      <w:r>
        <w:rPr>
          <w:sz w:val="24"/>
          <w:szCs w:val="24"/>
          <w:lang w:val="uz-Cyrl-UZ"/>
        </w:rPr>
        <w:t>Ushbu Shartnoma shartlaridan kelib chiqadigan barcha nizolar va kelishmovchiliklar imkon qadar taraflar o‘rtasida muzokaralar orqali hal qilinadi.</w:t>
      </w:r>
    </w:p>
    <w:p w14:paraId="3CCF66FE">
      <w:pPr>
        <w:numPr>
          <w:ilvl w:val="1"/>
          <w:numId w:val="2"/>
        </w:numPr>
        <w:tabs>
          <w:tab w:val="left" w:pos="1134"/>
        </w:tabs>
        <w:ind w:left="0" w:firstLine="567"/>
        <w:rPr>
          <w:sz w:val="24"/>
          <w:szCs w:val="24"/>
          <w:lang w:val="uz-Cyrl-UZ"/>
        </w:rPr>
      </w:pPr>
      <w:r>
        <w:rPr>
          <w:sz w:val="24"/>
          <w:szCs w:val="24"/>
          <w:lang w:val="uz-Cyrl-UZ"/>
        </w:rPr>
        <w:t>Muzokara yo‘li bilan hal etishni imkoni bo‘lmagan nizolar O‘zbekiston Respublikasi Qonunchiligiga muvofiq Toshkent tumanlararo iqtisodiy sudida ko‘rib chiqiladi.</w:t>
      </w:r>
    </w:p>
    <w:p w14:paraId="18FB8CD6">
      <w:pPr>
        <w:rPr>
          <w:sz w:val="24"/>
          <w:szCs w:val="24"/>
          <w:lang w:val="uz-Cyrl-UZ"/>
        </w:rPr>
      </w:pPr>
    </w:p>
    <w:p w14:paraId="73A8C2E5">
      <w:pPr>
        <w:numPr>
          <w:ilvl w:val="0"/>
          <w:numId w:val="2"/>
        </w:numPr>
        <w:spacing w:after="120"/>
        <w:jc w:val="center"/>
        <w:rPr>
          <w:sz w:val="26"/>
          <w:szCs w:val="26"/>
          <w:lang w:val="uz-Cyrl-UZ"/>
        </w:rPr>
      </w:pPr>
      <w:r>
        <w:rPr>
          <w:b/>
          <w:sz w:val="26"/>
          <w:szCs w:val="26"/>
          <w:lang w:val="uz-Cyrl-UZ"/>
        </w:rPr>
        <w:t>Shartnomaning boshqa shartlari</w:t>
      </w:r>
    </w:p>
    <w:p w14:paraId="5B97F2B8">
      <w:pPr>
        <w:numPr>
          <w:ilvl w:val="1"/>
          <w:numId w:val="2"/>
        </w:numPr>
        <w:tabs>
          <w:tab w:val="left" w:pos="1134"/>
        </w:tabs>
        <w:ind w:left="0" w:firstLine="567"/>
        <w:rPr>
          <w:sz w:val="24"/>
          <w:szCs w:val="24"/>
          <w:lang w:val="uz-Cyrl-UZ"/>
        </w:rPr>
      </w:pPr>
      <w:r>
        <w:rPr>
          <w:sz w:val="24"/>
          <w:szCs w:val="24"/>
          <w:lang w:val="uz-Cyrl-UZ"/>
        </w:rPr>
        <w:t>Shartnomaga o‘zgartirishlar, konsert boshlanishidan 15 kun oldin, tomonlarning yozma xabarnomasi bilan o‘zaro kelishuv asosida amalga oshirilishi mumkin.</w:t>
      </w:r>
    </w:p>
    <w:p w14:paraId="3C4DBB6E">
      <w:pPr>
        <w:numPr>
          <w:ilvl w:val="1"/>
          <w:numId w:val="2"/>
        </w:numPr>
        <w:tabs>
          <w:tab w:val="left" w:pos="1134"/>
        </w:tabs>
        <w:ind w:left="0" w:firstLine="567"/>
        <w:rPr>
          <w:sz w:val="24"/>
          <w:szCs w:val="24"/>
          <w:lang w:val="uz-Cyrl-UZ"/>
        </w:rPr>
      </w:pPr>
      <w:r>
        <w:rPr>
          <w:sz w:val="24"/>
          <w:szCs w:val="24"/>
          <w:lang w:val="uz-Cyrl-UZ"/>
        </w:rPr>
        <w:t>Shartnomaga kiritiladigan barcha o‘zgartirish va qo‘shimchalar Shartnomaga qo‘shimcha kelishuv kiritish bilan rasmiylashtiriladi.</w:t>
      </w:r>
    </w:p>
    <w:p w14:paraId="2C758E8D">
      <w:pPr>
        <w:numPr>
          <w:ilvl w:val="1"/>
          <w:numId w:val="2"/>
        </w:numPr>
        <w:tabs>
          <w:tab w:val="left" w:pos="1134"/>
        </w:tabs>
        <w:ind w:left="0" w:firstLine="567"/>
        <w:rPr>
          <w:sz w:val="24"/>
          <w:szCs w:val="24"/>
          <w:lang w:val="uz-Cyrl-UZ"/>
        </w:rPr>
      </w:pPr>
      <w:r>
        <w:rPr>
          <w:sz w:val="24"/>
          <w:szCs w:val="24"/>
          <w:lang w:val="uz-Cyrl-UZ"/>
        </w:rPr>
        <w:t xml:space="preserve">Shartnomaning muddati – </w:t>
      </w:r>
      <w:r>
        <w:rPr>
          <w:rFonts w:hint="default"/>
          <w:sz w:val="24"/>
          <w:szCs w:val="24"/>
          <w:lang w:val="en-US"/>
        </w:rPr>
        <w:t>31.12.</w:t>
      </w:r>
      <w:bookmarkStart w:id="0" w:name="_GoBack"/>
      <w:bookmarkEnd w:id="0"/>
      <w:r>
        <w:rPr>
          <w:rFonts w:hint="default"/>
          <w:sz w:val="24"/>
          <w:szCs w:val="24"/>
          <w:lang w:val="en-US"/>
        </w:rPr>
        <w:t>2024</w:t>
      </w:r>
      <w:r>
        <w:rPr>
          <w:sz w:val="24"/>
          <w:szCs w:val="24"/>
          <w:lang w:val="uz-Cyrl-UZ"/>
        </w:rPr>
        <w:t>-yilgacha.</w:t>
      </w:r>
    </w:p>
    <w:p w14:paraId="38A4D303">
      <w:pPr>
        <w:numPr>
          <w:ilvl w:val="0"/>
          <w:numId w:val="2"/>
        </w:numPr>
        <w:spacing w:after="120"/>
        <w:jc w:val="center"/>
        <w:rPr>
          <w:sz w:val="26"/>
          <w:szCs w:val="26"/>
          <w:lang w:val="uz-Cyrl-UZ"/>
        </w:rPr>
      </w:pPr>
      <w:r>
        <w:rPr>
          <w:b/>
          <w:sz w:val="26"/>
          <w:szCs w:val="26"/>
          <w:lang w:val="uz-Cyrl-UZ"/>
        </w:rPr>
        <w:t>Korrupsiyaga qarshi moddasi</w:t>
      </w:r>
    </w:p>
    <w:p w14:paraId="32970D1A">
      <w:pPr>
        <w:numPr>
          <w:ilvl w:val="1"/>
          <w:numId w:val="2"/>
        </w:numPr>
        <w:tabs>
          <w:tab w:val="left" w:pos="1134"/>
        </w:tabs>
        <w:ind w:left="0" w:firstLine="567"/>
        <w:rPr>
          <w:sz w:val="24"/>
          <w:szCs w:val="24"/>
          <w:lang w:val="uz-Cyrl-UZ"/>
        </w:rPr>
      </w:pPr>
      <w:r>
        <w:rPr>
          <w:sz w:val="24"/>
          <w:szCs w:val="24"/>
          <w:lang w:val="uz-Cyrl-UZ"/>
        </w:rPr>
        <w:t>Tomonlar, ularning har biri poraxo‘rlik va korrupsiyaga mutlaqo qarshilik siyosatiga ega ekanligini tan oladilar va tasdiqlaydilar, bu esa, korrupsiyaviy harakatlarni va xo‘jalik faoliyati bilan bog‘liq rasmiyatchiliklarni osonlashtirish, ayrim masalalarni tezroq hal qilish maqsadida pul berishni to‘liq tasdiqlashni nazarda tutadi. Tomonlar o‘z faoliyatida amaldagi qonunchilik va uning asosida ishlab chiqilgan siyosat hamda poraxo‘rlik va tijoriy poraxo‘rlik bilan kurashishga qaratilgan tartib-qoidalarga amal qiladilar.</w:t>
      </w:r>
    </w:p>
    <w:p w14:paraId="31708B50">
      <w:pPr>
        <w:numPr>
          <w:ilvl w:val="1"/>
          <w:numId w:val="2"/>
        </w:numPr>
        <w:tabs>
          <w:tab w:val="left" w:pos="1134"/>
        </w:tabs>
        <w:ind w:left="0" w:firstLine="567"/>
        <w:rPr>
          <w:sz w:val="24"/>
          <w:szCs w:val="24"/>
          <w:lang w:val="uz-Cyrl-UZ"/>
        </w:rPr>
      </w:pPr>
      <w:r>
        <w:rPr>
          <w:sz w:val="24"/>
          <w:szCs w:val="24"/>
          <w:lang w:val="uz-Cyrl-UZ"/>
        </w:rPr>
        <w:t>Tomonlar va ularning xodimlari har qanday shaxsga (jumladan, jismoniy shaxslarga, tijorat tashkilotlariga va davlat mansabdor shaxslariga) korrupsiyaviy to‘lovlarni (pul yoki qimmatbaho sovg‘alar) olishga, qabul qilishga yoki qabul qilishga rozi bo‘lmaslikka kafolat beradilar.</w:t>
      </w:r>
    </w:p>
    <w:p w14:paraId="783330F3">
      <w:pPr>
        <w:numPr>
          <w:ilvl w:val="0"/>
          <w:numId w:val="2"/>
        </w:numPr>
        <w:spacing w:after="120"/>
        <w:jc w:val="center"/>
        <w:rPr>
          <w:sz w:val="26"/>
          <w:szCs w:val="26"/>
          <w:lang w:val="uz-Cyrl-UZ"/>
        </w:rPr>
      </w:pPr>
      <w:r>
        <w:rPr>
          <w:b/>
          <w:sz w:val="26"/>
          <w:szCs w:val="26"/>
          <w:lang w:val="uz-Cyrl-UZ"/>
        </w:rPr>
        <w:t>Fors-major</w:t>
      </w:r>
    </w:p>
    <w:p w14:paraId="47D21923">
      <w:pPr>
        <w:numPr>
          <w:ilvl w:val="1"/>
          <w:numId w:val="2"/>
        </w:numPr>
        <w:tabs>
          <w:tab w:val="left" w:pos="1134"/>
        </w:tabs>
        <w:ind w:left="0" w:firstLine="567"/>
        <w:rPr>
          <w:sz w:val="24"/>
          <w:szCs w:val="24"/>
          <w:lang w:val="uz-Cyrl-UZ"/>
        </w:rPr>
      </w:pPr>
      <w:r>
        <w:rPr>
          <w:sz w:val="24"/>
          <w:szCs w:val="24"/>
          <w:lang w:val="uz-Cyrl-UZ"/>
        </w:rPr>
        <w:t>Umumiy e’tirof etilgan fors-major holatlari yuzaga kelgan taqdirda, hech bir tomon majburiyatlarni to‘liq yoki qisman bajarmaganligi uchun javobgar bo‘lmaydi. Bunday holatlarga duch kelgan tomon, ular yuzaga kelgan paytdan boshlab 10 kun ichida boshqa tomonni xabardor qilishi shart.</w:t>
      </w:r>
    </w:p>
    <w:p w14:paraId="3E1E8A3F">
      <w:pPr>
        <w:tabs>
          <w:tab w:val="left" w:pos="602"/>
        </w:tabs>
        <w:ind w:left="35"/>
        <w:rPr>
          <w:sz w:val="24"/>
          <w:szCs w:val="24"/>
          <w:lang w:val="uz-Cyrl-UZ"/>
        </w:rPr>
      </w:pPr>
      <w:r>
        <w:rPr>
          <w:sz w:val="24"/>
          <w:szCs w:val="24"/>
          <w:lang w:val="uz-Cyrl-UZ"/>
        </w:rPr>
        <w:tab/>
      </w:r>
      <w:r>
        <w:rPr>
          <w:sz w:val="24"/>
          <w:szCs w:val="24"/>
          <w:lang w:val="uz-Cyrl-UZ"/>
        </w:rPr>
        <w:t>“IJARACHI” tomonidan Shartnoma shartlari bajarilmagan taqdirda, “IJARAGA BЕRUVCHI” u bilan keyingi hamkorlikni to‘xtatishga haqli.</w:t>
      </w:r>
    </w:p>
    <w:p w14:paraId="7C29219B">
      <w:pPr>
        <w:numPr>
          <w:ilvl w:val="0"/>
          <w:numId w:val="2"/>
        </w:numPr>
        <w:jc w:val="center"/>
        <w:rPr>
          <w:b/>
          <w:sz w:val="26"/>
          <w:szCs w:val="26"/>
          <w:lang w:val="uz-Latn-UZ"/>
        </w:rPr>
      </w:pPr>
      <w:r>
        <w:rPr>
          <w:b/>
          <w:sz w:val="26"/>
          <w:szCs w:val="26"/>
          <w:lang w:val="uz-Latn-UZ"/>
        </w:rPr>
        <w:t>Qo‘shimcha shartlar</w:t>
      </w:r>
    </w:p>
    <w:p w14:paraId="3715C8B6">
      <w:pPr>
        <w:numPr>
          <w:ilvl w:val="1"/>
          <w:numId w:val="2"/>
        </w:numPr>
        <w:ind w:left="0" w:firstLine="567"/>
        <w:rPr>
          <w:sz w:val="24"/>
          <w:szCs w:val="24"/>
          <w:lang w:val="uz-Latn-UZ"/>
        </w:rPr>
      </w:pPr>
      <w:r>
        <w:rPr>
          <w:sz w:val="24"/>
          <w:szCs w:val="24"/>
          <w:lang w:val="uz-Cyrl-UZ"/>
        </w:rPr>
        <w:t>“IJARACHI”</w:t>
      </w:r>
      <w:r>
        <w:rPr>
          <w:sz w:val="24"/>
          <w:szCs w:val="24"/>
          <w:lang w:val="uz-Latn-UZ"/>
        </w:rPr>
        <w:t xml:space="preserve"> ommaviy tadbirlarga fuqarolarni reklama, aksiya va boshqa maqsadlarda oziq-ovqat, buyumlar hamda boshqa mahsulotlar va tovar-moddiy boyliklarni bepul tarqatish yoki haddan tashqari arzonlashtirilgan narxda sotish orqali jalb qilish taqiqlanadi.</w:t>
      </w:r>
    </w:p>
    <w:p w14:paraId="7C555C0A">
      <w:pPr>
        <w:numPr>
          <w:ilvl w:val="1"/>
          <w:numId w:val="2"/>
        </w:numPr>
        <w:ind w:left="0" w:firstLine="567"/>
        <w:rPr>
          <w:sz w:val="24"/>
          <w:szCs w:val="24"/>
          <w:lang w:val="uz-Latn-UZ"/>
        </w:rPr>
      </w:pPr>
      <w:r>
        <w:rPr>
          <w:sz w:val="24"/>
          <w:szCs w:val="24"/>
          <w:lang w:val="uz-Cyrl-UZ"/>
        </w:rPr>
        <w:t>“IJARACHI”</w:t>
      </w:r>
      <w:r>
        <w:rPr>
          <w:sz w:val="24"/>
          <w:szCs w:val="24"/>
          <w:lang w:val="uz-Latn-UZ"/>
        </w:rPr>
        <w:t xml:space="preserve"> ommaviy tadbirlarni o‘tkazish qoidalari buzilishiga yo‘l qo‘ygan taqdirda mazkur sharnoma bir taraflama bekor qilinadi hamda ijara to‘lovlari va boshqa xarajatlar </w:t>
      </w:r>
      <w:r>
        <w:rPr>
          <w:sz w:val="24"/>
          <w:szCs w:val="24"/>
          <w:lang w:val="uz-Cyrl-UZ"/>
        </w:rPr>
        <w:t>“IJARACHI”</w:t>
      </w:r>
      <w:r>
        <w:rPr>
          <w:sz w:val="24"/>
          <w:szCs w:val="24"/>
          <w:lang w:val="uz-Latn-UZ"/>
        </w:rPr>
        <w:t>dan undiriladi.</w:t>
      </w:r>
    </w:p>
    <w:p w14:paraId="56DB4722">
      <w:pPr>
        <w:numPr>
          <w:ilvl w:val="0"/>
          <w:numId w:val="2"/>
        </w:numPr>
        <w:spacing w:after="120"/>
        <w:jc w:val="center"/>
        <w:rPr>
          <w:b/>
          <w:sz w:val="26"/>
          <w:szCs w:val="26"/>
          <w:lang w:val="uz-Cyrl-UZ"/>
        </w:rPr>
      </w:pPr>
      <w:r>
        <w:rPr>
          <w:b/>
          <w:sz w:val="26"/>
          <w:szCs w:val="26"/>
          <w:lang w:val="uz-Cyrl-UZ"/>
        </w:rPr>
        <w:t>Taraflarning yuridik manzili</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1"/>
      </w:tblGrid>
      <w:tr w14:paraId="0A5A85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5210" w:type="dxa"/>
          </w:tcPr>
          <w:p w14:paraId="64FFA400">
            <w:pPr>
              <w:jc w:val="center"/>
              <w:rPr>
                <w:b/>
                <w:sz w:val="24"/>
                <w:szCs w:val="24"/>
                <w:lang w:val="uz-Cyrl-UZ"/>
              </w:rPr>
            </w:pPr>
            <w:r>
              <w:rPr>
                <w:b/>
                <w:sz w:val="24"/>
                <w:szCs w:val="24"/>
                <w:lang w:val="uz-Cyrl-UZ"/>
              </w:rPr>
              <w:t>“IJARAGA BЕRUVCHI”</w:t>
            </w:r>
          </w:p>
        </w:tc>
        <w:tc>
          <w:tcPr>
            <w:tcW w:w="5211" w:type="dxa"/>
          </w:tcPr>
          <w:p w14:paraId="1B6D2A55">
            <w:pPr>
              <w:jc w:val="center"/>
              <w:rPr>
                <w:b/>
                <w:sz w:val="24"/>
                <w:szCs w:val="24"/>
                <w:lang w:val="uz-Cyrl-UZ"/>
              </w:rPr>
            </w:pPr>
            <w:r>
              <w:rPr>
                <w:b/>
                <w:sz w:val="24"/>
                <w:szCs w:val="24"/>
                <w:lang w:val="uz-Cyrl-UZ"/>
              </w:rPr>
              <w:t>“IJARACHI”</w:t>
            </w:r>
          </w:p>
        </w:tc>
      </w:tr>
      <w:tr w14:paraId="3270F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5210" w:type="dxa"/>
          </w:tcPr>
          <w:p w14:paraId="6A2DF1CF">
            <w:pPr>
              <w:jc w:val="center"/>
              <w:rPr>
                <w:sz w:val="24"/>
                <w:szCs w:val="24"/>
                <w:lang w:val="uz-Cyrl-UZ"/>
              </w:rPr>
            </w:pPr>
            <w:r>
              <w:rPr>
                <w:sz w:val="24"/>
                <w:szCs w:val="24"/>
                <w:lang w:val="uz-Cyrl-UZ"/>
              </w:rPr>
              <w:t>“</w:t>
            </w:r>
            <w:r>
              <w:rPr>
                <w:sz w:val="24"/>
                <w:szCs w:val="24"/>
                <w:lang w:val="en-US"/>
              </w:rPr>
              <w:t>{{ hall_name }}</w:t>
            </w:r>
            <w:r>
              <w:rPr>
                <w:sz w:val="24"/>
                <w:szCs w:val="24"/>
                <w:lang w:val="uz-Cyrl-UZ"/>
              </w:rPr>
              <w:t>”</w:t>
            </w:r>
          </w:p>
        </w:tc>
        <w:tc>
          <w:tcPr>
            <w:tcW w:w="5211" w:type="dxa"/>
          </w:tcPr>
          <w:p w14:paraId="6680E791">
            <w:pPr>
              <w:jc w:val="center"/>
              <w:rPr>
                <w:sz w:val="24"/>
                <w:szCs w:val="24"/>
                <w:lang w:val="en-US"/>
              </w:rPr>
            </w:pPr>
            <w:r>
              <w:rPr>
                <w:sz w:val="24"/>
                <w:szCs w:val="24"/>
                <w:lang w:val="en-US"/>
              </w:rPr>
              <w:t>“{{ application_name }}”</w:t>
            </w:r>
          </w:p>
        </w:tc>
      </w:tr>
      <w:tr w14:paraId="0A31F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10" w:type="dxa"/>
          </w:tcPr>
          <w:p w14:paraId="702D5D8B">
            <w:pPr>
              <w:jc w:val="center"/>
              <w:rPr>
                <w:sz w:val="24"/>
                <w:szCs w:val="24"/>
                <w:lang w:val="en-US"/>
              </w:rPr>
            </w:pPr>
            <w:r>
              <w:rPr>
                <w:sz w:val="24"/>
                <w:szCs w:val="24"/>
                <w:lang w:val="en-US"/>
              </w:rPr>
              <w:t>{{ hall_location</w:t>
            </w:r>
            <w:r>
              <w:rPr>
                <w:rFonts w:hint="default"/>
                <w:sz w:val="24"/>
                <w:szCs w:val="24"/>
                <w:lang w:val="en-US"/>
              </w:rPr>
              <w:t>_asd</w:t>
            </w:r>
            <w:r>
              <w:rPr>
                <w:sz w:val="24"/>
                <w:szCs w:val="24"/>
                <w:lang w:val="en-US"/>
              </w:rPr>
              <w:t xml:space="preserve"> }}</w:t>
            </w:r>
          </w:p>
        </w:tc>
        <w:tc>
          <w:tcPr>
            <w:tcW w:w="5211" w:type="dxa"/>
          </w:tcPr>
          <w:p w14:paraId="592EF98B">
            <w:pPr>
              <w:jc w:val="center"/>
              <w:rPr>
                <w:sz w:val="24"/>
                <w:szCs w:val="24"/>
                <w:lang w:val="en-US"/>
              </w:rPr>
            </w:pPr>
            <w:r>
              <w:rPr>
                <w:sz w:val="24"/>
                <w:szCs w:val="24"/>
                <w:lang w:val="en-US"/>
              </w:rPr>
              <w:t>{{ application_address }}</w:t>
            </w:r>
          </w:p>
        </w:tc>
      </w:tr>
      <w:tr w14:paraId="60067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10" w:type="dxa"/>
          </w:tcPr>
          <w:p w14:paraId="44F2EE1F">
            <w:pPr>
              <w:jc w:val="center"/>
              <w:rPr>
                <w:sz w:val="24"/>
                <w:szCs w:val="24"/>
                <w:lang w:val="en-US"/>
              </w:rPr>
            </w:pPr>
            <w:r>
              <w:rPr>
                <w:sz w:val="24"/>
                <w:szCs w:val="24"/>
                <w:lang w:val="uz-Cyrl-UZ"/>
              </w:rPr>
              <w:t xml:space="preserve">Tel.: </w:t>
            </w:r>
            <w:r>
              <w:rPr>
                <w:sz w:val="24"/>
                <w:szCs w:val="24"/>
                <w:lang w:val="en-US"/>
              </w:rPr>
              <w:t>{{ hall_phone_number }}</w:t>
            </w:r>
          </w:p>
        </w:tc>
        <w:tc>
          <w:tcPr>
            <w:tcW w:w="5211" w:type="dxa"/>
          </w:tcPr>
          <w:p w14:paraId="72D9187A">
            <w:pPr>
              <w:jc w:val="center"/>
              <w:rPr>
                <w:sz w:val="24"/>
                <w:szCs w:val="24"/>
                <w:lang w:val="en-US"/>
              </w:rPr>
            </w:pPr>
            <w:r>
              <w:rPr>
                <w:sz w:val="24"/>
                <w:szCs w:val="24"/>
                <w:lang w:val="uz-Cyrl-UZ"/>
              </w:rPr>
              <w:t>Tel.:</w:t>
            </w:r>
            <w:r>
              <w:rPr>
                <w:sz w:val="24"/>
                <w:szCs w:val="24"/>
                <w:lang w:val="en-US"/>
              </w:rPr>
              <w:t xml:space="preserve"> </w:t>
            </w:r>
            <w:r>
              <w:rPr>
                <w:sz w:val="24"/>
                <w:szCs w:val="24"/>
                <w:lang w:val="uz-Cyrl-UZ"/>
              </w:rPr>
              <w:t>{{ application_</w:t>
            </w:r>
            <w:r>
              <w:rPr>
                <w:sz w:val="24"/>
                <w:szCs w:val="24"/>
                <w:lang w:val="en-US"/>
              </w:rPr>
              <w:t>phone_number</w:t>
            </w:r>
            <w:r>
              <w:rPr>
                <w:sz w:val="24"/>
                <w:szCs w:val="24"/>
                <w:lang w:val="uz-Cyrl-UZ"/>
              </w:rPr>
              <w:t>}}</w:t>
            </w:r>
          </w:p>
        </w:tc>
      </w:tr>
      <w:tr w14:paraId="29825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10" w:type="dxa"/>
          </w:tcPr>
          <w:p w14:paraId="1DCF510C">
            <w:pPr>
              <w:keepNext w:val="0"/>
              <w:keepLines w:val="0"/>
              <w:widowControl/>
              <w:suppressLineNumbers w:val="0"/>
              <w:spacing w:before="0" w:beforeAutospacing="0" w:after="0" w:afterAutospacing="0"/>
              <w:ind w:left="0" w:right="0"/>
              <w:jc w:val="center"/>
              <w:rPr>
                <w:sz w:val="24"/>
                <w:szCs w:val="24"/>
                <w:lang w:val="uz-Cyrl-UZ"/>
              </w:rPr>
            </w:pPr>
            <w:r>
              <w:rPr>
                <w:rFonts w:hint="default" w:ascii="Times New Roman" w:hAnsi="Times New Roman" w:eastAsia="Calibri" w:cs="Times New Roman"/>
                <w:kern w:val="0"/>
                <w:sz w:val="24"/>
                <w:szCs w:val="24"/>
                <w:lang w:val="en-US" w:eastAsia="zh-CN" w:bidi="ar"/>
              </w:rPr>
              <w:t>Sh/H.r:</w:t>
            </w:r>
            <w:r>
              <w:rPr>
                <w:sz w:val="24"/>
                <w:szCs w:val="24"/>
                <w:lang w:val="uz-Cyrl-UZ"/>
              </w:rPr>
              <w:t xml:space="preserve"> 400110860262667082600056001</w:t>
            </w:r>
          </w:p>
        </w:tc>
        <w:tc>
          <w:tcPr>
            <w:tcW w:w="5211" w:type="dxa"/>
          </w:tcPr>
          <w:p w14:paraId="77FBEE1C">
            <w:pPr>
              <w:jc w:val="center"/>
              <w:rPr>
                <w:sz w:val="24"/>
                <w:szCs w:val="24"/>
                <w:lang w:val="uz-Cyrl-UZ"/>
              </w:rPr>
            </w:pPr>
            <w:r>
              <w:rPr>
                <w:sz w:val="24"/>
                <w:szCs w:val="24"/>
                <w:lang w:val="uz-Cyrl-UZ"/>
              </w:rPr>
              <w:t>Sh/H.r:</w:t>
            </w:r>
            <w:r>
              <w:rPr>
                <w:rFonts w:hint="default"/>
                <w:sz w:val="24"/>
                <w:szCs w:val="24"/>
                <w:lang w:val="en-US"/>
              </w:rPr>
              <w:t xml:space="preserve"> {{ application_acc_number }}</w:t>
            </w:r>
          </w:p>
        </w:tc>
      </w:tr>
      <w:tr w14:paraId="430D3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10" w:type="dxa"/>
          </w:tcPr>
          <w:p w14:paraId="313116B6">
            <w:pPr>
              <w:jc w:val="center"/>
              <w:rPr>
                <w:sz w:val="24"/>
                <w:szCs w:val="24"/>
                <w:lang w:val="en-US"/>
              </w:rPr>
            </w:pPr>
            <w:r>
              <w:rPr>
                <w:sz w:val="24"/>
                <w:szCs w:val="24"/>
                <w:lang w:val="uz-Cyrl-UZ"/>
              </w:rPr>
              <w:t xml:space="preserve">INN: </w:t>
            </w:r>
            <w:r>
              <w:rPr>
                <w:sz w:val="24"/>
                <w:szCs w:val="24"/>
                <w:lang w:val="en-US"/>
              </w:rPr>
              <w:t>{{ hall_inn }}</w:t>
            </w:r>
          </w:p>
        </w:tc>
        <w:tc>
          <w:tcPr>
            <w:tcW w:w="5211" w:type="dxa"/>
          </w:tcPr>
          <w:p w14:paraId="21A41899">
            <w:pPr>
              <w:jc w:val="center"/>
              <w:rPr>
                <w:rFonts w:hint="default"/>
                <w:sz w:val="24"/>
                <w:szCs w:val="24"/>
                <w:lang w:val="en-US"/>
              </w:rPr>
            </w:pPr>
            <w:r>
              <w:rPr>
                <w:sz w:val="24"/>
                <w:szCs w:val="24"/>
                <w:lang w:val="uz-Cyrl-UZ"/>
              </w:rPr>
              <w:t>INN: {{ application_</w:t>
            </w:r>
            <w:r>
              <w:rPr>
                <w:sz w:val="24"/>
                <w:szCs w:val="24"/>
                <w:lang w:val="en-US"/>
              </w:rPr>
              <w:t>inn</w:t>
            </w:r>
            <w:r>
              <w:rPr>
                <w:sz w:val="24"/>
                <w:szCs w:val="24"/>
                <w:lang w:val="uz-Cyrl-UZ"/>
              </w:rPr>
              <w:t xml:space="preserve"> }}</w:t>
            </w:r>
          </w:p>
        </w:tc>
      </w:tr>
      <w:tr w14:paraId="330DB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10" w:type="dxa"/>
          </w:tcPr>
          <w:p w14:paraId="3233E134">
            <w:pPr>
              <w:rPr>
                <w:sz w:val="24"/>
                <w:szCs w:val="24"/>
                <w:lang w:val="uz-Cyrl-UZ"/>
              </w:rPr>
            </w:pPr>
          </w:p>
        </w:tc>
        <w:tc>
          <w:tcPr>
            <w:tcW w:w="5211" w:type="dxa"/>
          </w:tcPr>
          <w:p w14:paraId="0655567B">
            <w:pPr>
              <w:rPr>
                <w:sz w:val="24"/>
                <w:szCs w:val="24"/>
                <w:lang w:val="uz-Cyrl-UZ"/>
              </w:rPr>
            </w:pPr>
          </w:p>
        </w:tc>
      </w:tr>
      <w:tr w14:paraId="13660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10" w:type="dxa"/>
          </w:tcPr>
          <w:p w14:paraId="59CC9A2E">
            <w:pPr>
              <w:rPr>
                <w:sz w:val="24"/>
                <w:szCs w:val="24"/>
                <w:lang w:val="uz-Cyrl-UZ"/>
              </w:rPr>
            </w:pPr>
          </w:p>
        </w:tc>
        <w:tc>
          <w:tcPr>
            <w:tcW w:w="5211" w:type="dxa"/>
          </w:tcPr>
          <w:p w14:paraId="7C5041DC">
            <w:pPr>
              <w:rPr>
                <w:sz w:val="24"/>
                <w:szCs w:val="24"/>
                <w:lang w:val="uz-Cyrl-UZ"/>
              </w:rPr>
            </w:pPr>
          </w:p>
        </w:tc>
      </w:tr>
      <w:tr w14:paraId="1F6E3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210" w:type="dxa"/>
          </w:tcPr>
          <w:p w14:paraId="349B2316">
            <w:pPr>
              <w:jc w:val="center"/>
              <w:rPr>
                <w:sz w:val="24"/>
                <w:szCs w:val="24"/>
                <w:lang w:val="en-US"/>
              </w:rPr>
            </w:pPr>
            <w:r>
              <w:rPr>
                <w:b/>
                <w:sz w:val="24"/>
                <w:szCs w:val="24"/>
                <w:lang w:val="uz-Cyrl-UZ"/>
              </w:rPr>
              <w:t xml:space="preserve">Bosh direktor </w:t>
            </w:r>
            <w:r>
              <w:rPr>
                <w:b/>
                <w:sz w:val="24"/>
                <w:szCs w:val="24"/>
                <w:lang w:val="uz-Cyrl-UZ"/>
              </w:rPr>
              <w:tab/>
            </w:r>
            <w:r>
              <w:rPr>
                <w:b/>
                <w:sz w:val="24"/>
                <w:szCs w:val="24"/>
                <w:lang w:val="uz-Cyrl-UZ"/>
              </w:rPr>
              <w:tab/>
            </w:r>
            <w:r>
              <w:rPr>
                <w:b/>
                <w:sz w:val="24"/>
                <w:szCs w:val="24"/>
                <w:lang w:val="en-US"/>
              </w:rPr>
              <w:t>{{ hall_director }}</w:t>
            </w:r>
          </w:p>
        </w:tc>
        <w:tc>
          <w:tcPr>
            <w:tcW w:w="5211" w:type="dxa"/>
          </w:tcPr>
          <w:p w14:paraId="6379DB3A">
            <w:pPr>
              <w:rPr>
                <w:sz w:val="24"/>
                <w:szCs w:val="24"/>
                <w:lang w:val="uz-Cyrl-UZ"/>
              </w:rPr>
            </w:pPr>
            <w:r>
              <w:rPr>
                <w:b/>
                <w:sz w:val="24"/>
                <w:szCs w:val="24"/>
                <w:lang w:val="uz-Cyrl-UZ"/>
              </w:rPr>
              <w:t xml:space="preserve">     </w:t>
            </w:r>
            <w:r>
              <w:rPr>
                <w:b/>
                <w:sz w:val="24"/>
                <w:szCs w:val="24"/>
                <w:lang w:val="en-US"/>
              </w:rPr>
              <w:t>Rahbar</w:t>
            </w:r>
            <w:r>
              <w:rPr>
                <w:b/>
                <w:sz w:val="24"/>
                <w:szCs w:val="24"/>
                <w:lang w:val="uz-Cyrl-UZ"/>
              </w:rPr>
              <w:t xml:space="preserve"> </w:t>
            </w:r>
            <w:r>
              <w:rPr>
                <w:b/>
                <w:sz w:val="24"/>
                <w:szCs w:val="24"/>
                <w:lang w:val="uz-Cyrl-UZ"/>
              </w:rPr>
              <w:tab/>
            </w:r>
            <w:r>
              <w:rPr>
                <w:b/>
                <w:sz w:val="24"/>
                <w:szCs w:val="24"/>
                <w:lang w:val="uz-Cyrl-UZ"/>
              </w:rPr>
              <w:tab/>
            </w:r>
            <w:r>
              <w:rPr>
                <w:b/>
                <w:sz w:val="24"/>
                <w:szCs w:val="24"/>
                <w:lang w:val="en-US"/>
              </w:rPr>
              <w:t>{{ application_director }}</w:t>
            </w:r>
            <w:r>
              <w:rPr>
                <w:b/>
                <w:sz w:val="24"/>
                <w:szCs w:val="24"/>
                <w:lang w:val="uz-Cyrl-UZ"/>
              </w:rPr>
              <w:tab/>
            </w:r>
          </w:p>
        </w:tc>
      </w:tr>
    </w:tbl>
    <w:p w14:paraId="790629B7">
      <w:pPr>
        <w:rPr>
          <w:sz w:val="16"/>
          <w:szCs w:val="16"/>
          <w:lang w:val="en-US"/>
        </w:rPr>
      </w:pPr>
    </w:p>
    <w:sectPr>
      <w:pgSz w:w="11906" w:h="16838"/>
      <w:pgMar w:top="851" w:right="850" w:bottom="1134" w:left="851"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70AF4"/>
    <w:multiLevelType w:val="multilevel"/>
    <w:tmpl w:val="08B70AF4"/>
    <w:lvl w:ilvl="0" w:tentative="0">
      <w:start w:val="1"/>
      <w:numFmt w:val="decimal"/>
      <w:lvlText w:val="%1."/>
      <w:lvlJc w:val="left"/>
      <w:pPr>
        <w:ind w:left="720" w:hanging="360"/>
      </w:pPr>
      <w:rPr>
        <w:rFonts w:hint="default"/>
        <w:b/>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1">
    <w:nsid w:val="14F070B9"/>
    <w:multiLevelType w:val="multilevel"/>
    <w:tmpl w:val="14F070B9"/>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93"/>
    <w:rsid w:val="000004E1"/>
    <w:rsid w:val="00010E16"/>
    <w:rsid w:val="000114C7"/>
    <w:rsid w:val="000168ED"/>
    <w:rsid w:val="00023605"/>
    <w:rsid w:val="00031AE4"/>
    <w:rsid w:val="000418D1"/>
    <w:rsid w:val="00051250"/>
    <w:rsid w:val="00052502"/>
    <w:rsid w:val="000525B2"/>
    <w:rsid w:val="0005697C"/>
    <w:rsid w:val="00067F69"/>
    <w:rsid w:val="00073F22"/>
    <w:rsid w:val="00092FAC"/>
    <w:rsid w:val="000963F9"/>
    <w:rsid w:val="000B7738"/>
    <w:rsid w:val="000C7C59"/>
    <w:rsid w:val="000D361D"/>
    <w:rsid w:val="00110167"/>
    <w:rsid w:val="00113F9D"/>
    <w:rsid w:val="001171A6"/>
    <w:rsid w:val="001255B0"/>
    <w:rsid w:val="00125887"/>
    <w:rsid w:val="00134DE0"/>
    <w:rsid w:val="00192F2A"/>
    <w:rsid w:val="001A6018"/>
    <w:rsid w:val="001D06D6"/>
    <w:rsid w:val="001D1F5E"/>
    <w:rsid w:val="001D41F1"/>
    <w:rsid w:val="001E4F2A"/>
    <w:rsid w:val="001F1079"/>
    <w:rsid w:val="001F3F09"/>
    <w:rsid w:val="0021672D"/>
    <w:rsid w:val="002174D4"/>
    <w:rsid w:val="00220908"/>
    <w:rsid w:val="00225D5D"/>
    <w:rsid w:val="00245008"/>
    <w:rsid w:val="00246686"/>
    <w:rsid w:val="00251A10"/>
    <w:rsid w:val="002556D7"/>
    <w:rsid w:val="00265C9B"/>
    <w:rsid w:val="00283E36"/>
    <w:rsid w:val="002979FF"/>
    <w:rsid w:val="002A0022"/>
    <w:rsid w:val="002A501A"/>
    <w:rsid w:val="002A745B"/>
    <w:rsid w:val="002C5004"/>
    <w:rsid w:val="002E4E2F"/>
    <w:rsid w:val="00302C13"/>
    <w:rsid w:val="00304D11"/>
    <w:rsid w:val="00314FBB"/>
    <w:rsid w:val="003159DA"/>
    <w:rsid w:val="003271FD"/>
    <w:rsid w:val="00333193"/>
    <w:rsid w:val="003975A6"/>
    <w:rsid w:val="00397874"/>
    <w:rsid w:val="003A0150"/>
    <w:rsid w:val="003B2169"/>
    <w:rsid w:val="003C06A1"/>
    <w:rsid w:val="003C6028"/>
    <w:rsid w:val="003D6429"/>
    <w:rsid w:val="003E718E"/>
    <w:rsid w:val="003F72FA"/>
    <w:rsid w:val="00401C11"/>
    <w:rsid w:val="004113F7"/>
    <w:rsid w:val="004151DF"/>
    <w:rsid w:val="0042060C"/>
    <w:rsid w:val="00421FA5"/>
    <w:rsid w:val="00427F71"/>
    <w:rsid w:val="00435A0E"/>
    <w:rsid w:val="004462E1"/>
    <w:rsid w:val="00451021"/>
    <w:rsid w:val="00454ADE"/>
    <w:rsid w:val="0046254F"/>
    <w:rsid w:val="00482592"/>
    <w:rsid w:val="004912C9"/>
    <w:rsid w:val="004A12F8"/>
    <w:rsid w:val="004B5C08"/>
    <w:rsid w:val="004B6EEB"/>
    <w:rsid w:val="004D2758"/>
    <w:rsid w:val="004E54C8"/>
    <w:rsid w:val="004F06F1"/>
    <w:rsid w:val="004F17A8"/>
    <w:rsid w:val="004F67D9"/>
    <w:rsid w:val="0050690A"/>
    <w:rsid w:val="00516CFD"/>
    <w:rsid w:val="00520DA5"/>
    <w:rsid w:val="00560AF2"/>
    <w:rsid w:val="005C238A"/>
    <w:rsid w:val="005C2FE8"/>
    <w:rsid w:val="005E5F1A"/>
    <w:rsid w:val="005E7474"/>
    <w:rsid w:val="005F76A0"/>
    <w:rsid w:val="00605C49"/>
    <w:rsid w:val="00610B34"/>
    <w:rsid w:val="00643255"/>
    <w:rsid w:val="0064586A"/>
    <w:rsid w:val="0065565E"/>
    <w:rsid w:val="00675493"/>
    <w:rsid w:val="00686BFB"/>
    <w:rsid w:val="00695AE8"/>
    <w:rsid w:val="00696863"/>
    <w:rsid w:val="006C5CAF"/>
    <w:rsid w:val="006E28EA"/>
    <w:rsid w:val="006E2A06"/>
    <w:rsid w:val="006F79D1"/>
    <w:rsid w:val="00701299"/>
    <w:rsid w:val="007072D2"/>
    <w:rsid w:val="007323B6"/>
    <w:rsid w:val="007454E8"/>
    <w:rsid w:val="007476EB"/>
    <w:rsid w:val="007615E6"/>
    <w:rsid w:val="0078771E"/>
    <w:rsid w:val="00792B0A"/>
    <w:rsid w:val="007A17C0"/>
    <w:rsid w:val="007C2909"/>
    <w:rsid w:val="007E59EB"/>
    <w:rsid w:val="007E60E4"/>
    <w:rsid w:val="007F70C3"/>
    <w:rsid w:val="007F7C72"/>
    <w:rsid w:val="0080534D"/>
    <w:rsid w:val="00844715"/>
    <w:rsid w:val="0086079C"/>
    <w:rsid w:val="008657BF"/>
    <w:rsid w:val="008679F0"/>
    <w:rsid w:val="00871B68"/>
    <w:rsid w:val="0087484A"/>
    <w:rsid w:val="00874A73"/>
    <w:rsid w:val="008759F4"/>
    <w:rsid w:val="00877D19"/>
    <w:rsid w:val="00897068"/>
    <w:rsid w:val="008B0993"/>
    <w:rsid w:val="008C4A13"/>
    <w:rsid w:val="008C59DB"/>
    <w:rsid w:val="008C7070"/>
    <w:rsid w:val="008F4F06"/>
    <w:rsid w:val="00910AEE"/>
    <w:rsid w:val="00915C68"/>
    <w:rsid w:val="00930237"/>
    <w:rsid w:val="00933BD5"/>
    <w:rsid w:val="00944C83"/>
    <w:rsid w:val="00945227"/>
    <w:rsid w:val="0097455A"/>
    <w:rsid w:val="00974E41"/>
    <w:rsid w:val="00976E0C"/>
    <w:rsid w:val="009926E9"/>
    <w:rsid w:val="009B03DA"/>
    <w:rsid w:val="009B1D5E"/>
    <w:rsid w:val="009B74F1"/>
    <w:rsid w:val="009C4C7D"/>
    <w:rsid w:val="009D0167"/>
    <w:rsid w:val="00A038D0"/>
    <w:rsid w:val="00A457F2"/>
    <w:rsid w:val="00A5744C"/>
    <w:rsid w:val="00A57E73"/>
    <w:rsid w:val="00A6005B"/>
    <w:rsid w:val="00A7160E"/>
    <w:rsid w:val="00A74475"/>
    <w:rsid w:val="00A74A15"/>
    <w:rsid w:val="00A961A0"/>
    <w:rsid w:val="00AA6A03"/>
    <w:rsid w:val="00AB10E2"/>
    <w:rsid w:val="00AB32E7"/>
    <w:rsid w:val="00AB514B"/>
    <w:rsid w:val="00AD1A3B"/>
    <w:rsid w:val="00AE4EF7"/>
    <w:rsid w:val="00AF645C"/>
    <w:rsid w:val="00B16084"/>
    <w:rsid w:val="00B16355"/>
    <w:rsid w:val="00B27A74"/>
    <w:rsid w:val="00B3056E"/>
    <w:rsid w:val="00B42E6A"/>
    <w:rsid w:val="00B506BB"/>
    <w:rsid w:val="00B63EA5"/>
    <w:rsid w:val="00B6649B"/>
    <w:rsid w:val="00B6714F"/>
    <w:rsid w:val="00B708E4"/>
    <w:rsid w:val="00B74F8C"/>
    <w:rsid w:val="00B9455B"/>
    <w:rsid w:val="00BA405E"/>
    <w:rsid w:val="00BC5839"/>
    <w:rsid w:val="00BE14AB"/>
    <w:rsid w:val="00BE6468"/>
    <w:rsid w:val="00BE656B"/>
    <w:rsid w:val="00BE6FF4"/>
    <w:rsid w:val="00BF140E"/>
    <w:rsid w:val="00BF2125"/>
    <w:rsid w:val="00C104A3"/>
    <w:rsid w:val="00C1661B"/>
    <w:rsid w:val="00C5361D"/>
    <w:rsid w:val="00C575AA"/>
    <w:rsid w:val="00C77C5F"/>
    <w:rsid w:val="00C81076"/>
    <w:rsid w:val="00C8378D"/>
    <w:rsid w:val="00CA6D18"/>
    <w:rsid w:val="00CB49CA"/>
    <w:rsid w:val="00CC454C"/>
    <w:rsid w:val="00CD0397"/>
    <w:rsid w:val="00CF6D59"/>
    <w:rsid w:val="00D161A4"/>
    <w:rsid w:val="00D2376D"/>
    <w:rsid w:val="00D2466C"/>
    <w:rsid w:val="00D34940"/>
    <w:rsid w:val="00D514D6"/>
    <w:rsid w:val="00D51F82"/>
    <w:rsid w:val="00D72D6E"/>
    <w:rsid w:val="00D77776"/>
    <w:rsid w:val="00D91333"/>
    <w:rsid w:val="00DA7F52"/>
    <w:rsid w:val="00DB2594"/>
    <w:rsid w:val="00DB7A8C"/>
    <w:rsid w:val="00DC12A3"/>
    <w:rsid w:val="00E15DC4"/>
    <w:rsid w:val="00E22482"/>
    <w:rsid w:val="00E257DC"/>
    <w:rsid w:val="00E34F57"/>
    <w:rsid w:val="00E52E70"/>
    <w:rsid w:val="00E64D54"/>
    <w:rsid w:val="00E72344"/>
    <w:rsid w:val="00E83E28"/>
    <w:rsid w:val="00E864CE"/>
    <w:rsid w:val="00E92672"/>
    <w:rsid w:val="00E929FC"/>
    <w:rsid w:val="00E96E52"/>
    <w:rsid w:val="00EA551F"/>
    <w:rsid w:val="00EB2F06"/>
    <w:rsid w:val="00EB6AA9"/>
    <w:rsid w:val="00EB79B0"/>
    <w:rsid w:val="00EE3CE9"/>
    <w:rsid w:val="00F033FC"/>
    <w:rsid w:val="00F05B05"/>
    <w:rsid w:val="00F12390"/>
    <w:rsid w:val="00F13CE0"/>
    <w:rsid w:val="00F16B75"/>
    <w:rsid w:val="00F16BA0"/>
    <w:rsid w:val="00F30F9A"/>
    <w:rsid w:val="00F34133"/>
    <w:rsid w:val="00F3798C"/>
    <w:rsid w:val="00F52919"/>
    <w:rsid w:val="00F6133A"/>
    <w:rsid w:val="00F6543D"/>
    <w:rsid w:val="00F66A20"/>
    <w:rsid w:val="00F86046"/>
    <w:rsid w:val="00F910D0"/>
    <w:rsid w:val="00F911F4"/>
    <w:rsid w:val="00F9138A"/>
    <w:rsid w:val="00F91612"/>
    <w:rsid w:val="00FA26F1"/>
    <w:rsid w:val="00FB1D97"/>
    <w:rsid w:val="00FB37FC"/>
    <w:rsid w:val="00FB471E"/>
    <w:rsid w:val="00FC0474"/>
    <w:rsid w:val="00FF77F7"/>
    <w:rsid w:val="10095FC1"/>
    <w:rsid w:val="1E54481B"/>
    <w:rsid w:val="26921599"/>
    <w:rsid w:val="3434150D"/>
    <w:rsid w:val="3C037356"/>
    <w:rsid w:val="40C438B0"/>
    <w:rsid w:val="41DA4F19"/>
    <w:rsid w:val="6A585044"/>
    <w:rsid w:val="740E6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Calibri" w:cs="Times New Roman"/>
      <w:sz w:val="28"/>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unhideWhenUsed/>
    <w:qFormat/>
    <w:uiPriority w:val="99"/>
    <w:rPr>
      <w:rFonts w:ascii="Tahoma" w:hAnsi="Tahoma" w:cs="Tahoma"/>
      <w:sz w:val="16"/>
      <w:szCs w:val="16"/>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Текст выноски Знак"/>
    <w:link w:val="4"/>
    <w:semiHidden/>
    <w:qFormat/>
    <w:uiPriority w:val="99"/>
    <w:rPr>
      <w:rFonts w:ascii="Tahoma" w:hAnsi="Tahoma" w:cs="Tahoma"/>
      <w:sz w:val="16"/>
      <w:szCs w:val="16"/>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Home</Company>
  <Pages>4</Pages>
  <Words>1905</Words>
  <Characters>10860</Characters>
  <Lines>1</Lines>
  <Paragraphs>1</Paragraphs>
  <TotalTime>1</TotalTime>
  <ScaleCrop>false</ScaleCrop>
  <LinksUpToDate>false</LinksUpToDate>
  <CharactersWithSpaces>12740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2024-07-24T09:44:00Z</dcterms:created>
  <dc:creator>User</dc:creator>
  <cp:lastModifiedBy>Admin</cp:lastModifiedBy>
  <cp:lastPrinted>2024-06-19T04:14:00Z</cp:lastPrinted>
  <dcterms:modified xsi:type="dcterms:W3CDTF">2024-07-24T10:57:38Z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32567ECD907146D3B09DA96C93A95ADC_13</vt:lpwstr>
  </property>
</Properties>
</file>