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type"/>
      <w:bookmarkEnd w:id="21"/>
      <w:r>
        <w:t xml:space="preserve">3.1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When the option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is not specified pt_base decides whether to summarise data as catagorical, binary or continuous based on the number of unique observations.</w:t>
      </w:r>
      <w:r>
        <w:t xml:space="preserve"> </w:t>
      </w:r>
      <w:r>
        <w:t xml:space="preserve">Variables with 10 or more unique values will be treated as continuous, and summarised by mean (sd). Variables with 9 or less unique values will be treated as binary or catagorical.</w:t>
      </w:r>
    </w:p>
    <w:p>
      <w:pPr>
        <w:pStyle w:val="BodyText"/>
      </w:pPr>
      <w:r>
        <w:t xml:space="preserve">The defaults can be overidden using the type option. The option</w:t>
      </w:r>
      <w:r>
        <w:t xml:space="preserve"> </w:t>
      </w:r>
      <w:r>
        <w:rPr>
          <w:rStyle w:val="VerbatimChar"/>
        </w:rPr>
        <w:t xml:space="preserve">type(skew)</w:t>
      </w:r>
      <w:r>
        <w:t xml:space="preserve"> </w:t>
      </w:r>
      <w:r>
        <w:t xml:space="preserve">can be used to present continuous data as median (IQR).</w:t>
      </w:r>
      <w:r>
        <w:t xml:space="preserve"> </w:t>
      </w:r>
      <w:r>
        <w:t xml:space="preserve">For binary variables the default is to consider the value 1 to be positive and to count the number of positives. If you want a different value considered as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use the option</w:t>
      </w:r>
      <w:r>
        <w:t xml:space="preserve"> </w:t>
      </w:r>
      <w:r>
        <w:rPr>
          <w:rStyle w:val="VerbatimChar"/>
        </w:rPr>
        <w:t xml:space="preserve">positive(#)</w:t>
      </w:r>
      <w:r>
        <w:t xml:space="preserve">.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type(cat)</w:t>
      </w:r>
      <w:r>
        <w:t xml:space="preserve"> </w:t>
      </w:r>
      <w:r>
        <w:t xml:space="preserve">for binary variables presents sumaries for both levels of the variable.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("Group2") ("Overall")</w:t>
      </w:r>
      <w:r>
        <w:br w:type="textWrapping"/>
      </w:r>
      <w:r>
        <w:rPr>
          <w:rStyle w:val="VerbatimChar"/>
        </w:rPr>
        <w:t xml:space="preserve">      . post `postname' ("Summaries") ("") ("") ("")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positive(1)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</w:t>
      </w:r>
      <w:r>
        <w:br w:type="textWrapping"/>
      </w:r>
      <w:r>
        <w:rPr>
          <w:rStyle w:val="VerbatimChar"/>
        </w:rPr>
        <w:t xml:space="preserve">      .</w:t>
      </w:r>
      <w:r>
        <w:br w:type="textWrapping"/>
      </w:r>
      <w:r>
        <w:rPr>
          <w:rStyle w:val="VerbatimChar"/>
        </w:rPr>
        <w:t xml:space="preserve">      . post `postname' ("") ("") ("") ("")</w:t>
      </w:r>
      <w:r>
        <w:br w:type="textWrapping"/>
      </w:r>
      <w:r>
        <w:rPr>
          <w:rStyle w:val="VerbatimChar"/>
        </w:rPr>
        <w:t xml:space="preserve">      . post `postname' ("Missing data") ("") ("") ("")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type(misstable)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type(misstable)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type(misstable)  su_label(append)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type(misstable)  su_label(append)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3ebd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