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cols-cond-ordergroup_over"/>
      <w:bookmarkEnd w:id="21"/>
      <w:r>
        <w:t xml:space="preserve">5.4</w:t>
      </w:r>
      <w:r>
        <w:t xml:space="preserve"> </w:t>
      </w:r>
      <w:r>
        <w:rPr>
          <w:rStyle w:val="VerbatimChar"/>
        </w:rPr>
        <w:t xml:space="preserve">n_analysis(cols cond %) order(group_over)</w:t>
      </w:r>
    </w:p>
    <w:p>
      <w:pPr>
        <w:pStyle w:val="FirstParagraph"/>
      </w:pPr>
      <w:r>
        <w:rPr>
          <w:rStyle w:val="VerbatimChar"/>
        </w:rPr>
        <w:t xml:space="preserve">order(group_over)</w:t>
      </w:r>
      <w:r>
        <w:t xml:space="preserve"> </w:t>
      </w:r>
      <w:r>
        <w:t xml:space="preserve">group columns by the over variable first, placing the summary and dednominator columns together.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 wihtin</w:t>
      </w:r>
      <w:r>
        <w:t xml:space="preserve"> </w:t>
      </w:r>
      <w:r>
        <w:rPr>
          <w:rStyle w:val="VerbatimChar"/>
        </w:rPr>
        <w:t xml:space="preserve">n_analysis()</w:t>
      </w:r>
      <w:r>
        <w:t xml:space="preserve"> </w:t>
      </w:r>
      <w:r>
        <w:t xml:space="preserve">adds the percent of nonmissing observations.</w:t>
      </w:r>
      <w:r>
        <w:t xml:space="preserve"> </w:t>
      </w: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is specified as well to include a percentage sign.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("N 1")  ("Summary 2") ("N 2") ("Summary Overall") ("N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n_analysis(cols  %) order(group_over) sum_cols_first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n_analysis(cols  %) order(group_over) sum_cols_first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n_analysis(cols  %)  order(group_over) sum_cols_first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n_analysis(cols  %)   order(group_over) sum_cols_first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92aa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