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issing-data-as-brackets-or-append"/>
      <w:bookmarkEnd w:id="21"/>
      <w:r>
        <w:t xml:space="preserve">Missing data as brackets or append</w:t>
      </w:r>
    </w:p>
    <w:p>
      <w:pPr>
        <w:pStyle w:val="Heading3"/>
      </w:pPr>
      <w:bookmarkStart w:id="22" w:name="missingbrackets-missingbrackets-cond"/>
      <w:bookmarkEnd w:id="22"/>
      <w:r>
        <w:t xml:space="preserve">6.5</w:t>
      </w:r>
      <w:r>
        <w:t xml:space="preserve"> </w:t>
      </w:r>
      <w:r>
        <w:rPr>
          <w:rStyle w:val="VerbatimChar"/>
        </w:rPr>
        <w:t xml:space="preserve">missing(brackets) missing(brackets cond %)</w:t>
      </w:r>
    </w:p>
    <w:p>
      <w:pPr>
        <w:pStyle w:val="FirstParagraph"/>
      </w:pPr>
      <w:r>
        <w:rPr>
          <w:rStyle w:val="VerbatimChar"/>
        </w:rPr>
        <w:t xml:space="preserve">missing(brackets)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missing(brackets)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missing(brackets)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 ("Summary 2") 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missing(brackets)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missing(brackets)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missing(brackets)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missing(brackets)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missing(brackets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missing(brackets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missing(brackets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missing(brackets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9e5d9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