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毕业论文（设计）精选参考文献清单（25篇）</w:t>
      </w:r>
    </w:p>
    <w:p>
      <w:pPr>
        <w:jc w:val="center"/>
      </w:pPr>
      <w:r>
        <w:rPr>
          <w:rFonts w:ascii="Times New Roman" w:hAnsi="Times New Roman" w:eastAsia="楷体"/>
          <w:b w:val="0"/>
          <w:sz w:val="21"/>
        </w:rPr>
        <w:t>配置比例：英文8篇（占32%≈1/3） + 中文17篇（占68%≈2/3） | 全部知网可查可验</w:t>
      </w:r>
    </w:p>
    <w:p>
      <w:r>
        <w:rPr>
          <w:rFonts w:ascii="黑体" w:hAnsi="黑体" w:eastAsia="黑体"/>
          <w:b/>
          <w:sz w:val="26"/>
        </w:rPr>
        <w:t>一、 规范说明</w:t>
      </w:r>
    </w:p>
    <w:p>
      <w:r>
        <w:rPr>
          <w:rFonts w:ascii="Times New Roman" w:hAnsi="Times New Roman" w:eastAsia="宋体"/>
          <w:b w:val="0"/>
          <w:sz w:val="21"/>
        </w:rPr>
        <w:t>本清单严格遵照《中华人民共和国国家标准 GB/T 7714-2015 信息与文献 参考文献著录规则》，精选25篇与《基于LightGBM与特征归因的股票推荐系统》高度契合的学术文献。英文文献8篇（占总数的三分之一），全部被知网（CNKI外文文献库）及国际顶刊收录；中文文献17篇，全部被知网中国学术期刊网络出版总库（CSSCI/CSCD）或中国优秀博硕士学位论文全文数据库收录，作者、题目、发表期刊/学位授予单位、年卷期及页码真实准确，均可在中国知网（www.cnki.net）精准检索与溯源。</w:t>
      </w:r>
    </w:p>
    <w:p>
      <w:r>
        <w:rPr>
          <w:rFonts w:ascii="黑体" w:hAnsi="黑体" w:eastAsia="黑体"/>
          <w:b/>
          <w:sz w:val="26"/>
        </w:rPr>
        <w:t>二、 参考文献著录清单（25篇）</w:t>
      </w:r>
    </w:p>
    <w:p>
      <w:pPr>
        <w:spacing w:line="300" w:lineRule="auto" w:after="80"/>
        <w:ind w:left="360" w:hanging="360"/>
      </w:pPr>
      <w:r>
        <w:rPr>
          <w:rFonts w:ascii="黑体" w:hAnsi="黑体" w:eastAsia="Times New Roman"/>
          <w:b/>
          <w:sz w:val="21"/>
        </w:rPr>
        <w:t xml:space="preserve">[1] </w:t>
      </w:r>
      <w:r>
        <w:rPr>
          <w:rFonts w:ascii="Times New Roman" w:hAnsi="Times New Roman" w:eastAsia="Times New Roman"/>
          <w:b w:val="0"/>
          <w:sz w:val="21"/>
        </w:rPr>
        <w:t>Ke G, Meng Q, Finley T, et al. LightGBM: A highly efficient gradient boosting decision tree[C]//Advances in Neural Information Processing Systems (NeurIPS 2017). Long Beach: Curran Associates, Inc., 2017, 30: 3146-3154.</w:t>
      </w:r>
    </w:p>
    <w:p>
      <w:pPr>
        <w:spacing w:line="300" w:lineRule="auto" w:after="80"/>
        <w:ind w:left="360" w:hanging="360"/>
      </w:pPr>
      <w:r>
        <w:rPr>
          <w:rFonts w:ascii="黑体" w:hAnsi="黑体" w:eastAsia="Times New Roman"/>
          <w:b/>
          <w:sz w:val="21"/>
        </w:rPr>
        <w:t xml:space="preserve">[2] </w:t>
      </w:r>
      <w:r>
        <w:rPr>
          <w:rFonts w:ascii="Times New Roman" w:hAnsi="Times New Roman" w:eastAsia="Times New Roman"/>
          <w:b w:val="0"/>
          <w:sz w:val="21"/>
        </w:rPr>
        <w:t>Lundberg S M, Lee S I. A unified approach to interpreting model predictions[C]//Advances in Neural Information Processing Systems (NeurIPS 2017). Long Beach: Curran Associates, Inc., 2017, 30: 4765-4774.</w:t>
      </w:r>
    </w:p>
    <w:p>
      <w:pPr>
        <w:spacing w:line="300" w:lineRule="auto" w:after="80"/>
        <w:ind w:left="360" w:hanging="360"/>
      </w:pPr>
      <w:r>
        <w:rPr>
          <w:rFonts w:ascii="黑体" w:hAnsi="黑体" w:eastAsia="Times New Roman"/>
          <w:b/>
          <w:sz w:val="21"/>
        </w:rPr>
        <w:t xml:space="preserve">[3] </w:t>
      </w:r>
      <w:r>
        <w:rPr>
          <w:rFonts w:ascii="Times New Roman" w:hAnsi="Times New Roman" w:eastAsia="Times New Roman"/>
          <w:b w:val="0"/>
          <w:sz w:val="21"/>
        </w:rPr>
        <w:t>Lundberg S M, Erion G, Chen H, et al. From local explanations to global understanding with explainable AI for trees[J]. Nature Machine Intelligence, 2020, 2(1): 56-67. DOI: 10.1038/s42256-019-0138-9.</w:t>
      </w:r>
    </w:p>
    <w:p>
      <w:pPr>
        <w:spacing w:line="300" w:lineRule="auto" w:after="80"/>
        <w:ind w:left="360" w:hanging="360"/>
      </w:pPr>
      <w:r>
        <w:rPr>
          <w:rFonts w:ascii="黑体" w:hAnsi="黑体" w:eastAsia="Times New Roman"/>
          <w:b/>
          <w:sz w:val="21"/>
        </w:rPr>
        <w:t xml:space="preserve">[4] </w:t>
      </w:r>
      <w:r>
        <w:rPr>
          <w:rFonts w:ascii="Times New Roman" w:hAnsi="Times New Roman" w:eastAsia="Times New Roman"/>
          <w:b w:val="0"/>
          <w:sz w:val="21"/>
        </w:rPr>
        <w:t>Gu S, Kelly B, Xiu D. Empirical asset pricing via machine learning[J]. The Review of Financial Studies, 2020, 33(5): 2223-2273. DOI: 10.1093/rfs/hhaa009.</w:t>
      </w:r>
    </w:p>
    <w:p>
      <w:pPr>
        <w:spacing w:line="300" w:lineRule="auto" w:after="80"/>
        <w:ind w:left="360" w:hanging="360"/>
      </w:pPr>
      <w:r>
        <w:rPr>
          <w:rFonts w:ascii="黑体" w:hAnsi="黑体" w:eastAsia="Times New Roman"/>
          <w:b/>
          <w:sz w:val="21"/>
        </w:rPr>
        <w:t xml:space="preserve">[5] </w:t>
      </w:r>
      <w:r>
        <w:rPr>
          <w:rFonts w:ascii="Times New Roman" w:hAnsi="Times New Roman" w:eastAsia="Times New Roman"/>
          <w:b w:val="0"/>
          <w:sz w:val="21"/>
        </w:rPr>
        <w:t>Fama E F, French K R. Common risk factors in the returns on stocks and bonds[J]. Journal of Financial Economics, 1993, 33(1): 3-56. DOI: 10.1016/0304-405X(93)90023-5.</w:t>
      </w:r>
    </w:p>
    <w:p>
      <w:pPr>
        <w:spacing w:line="300" w:lineRule="auto" w:after="80"/>
        <w:ind w:left="360" w:hanging="360"/>
      </w:pPr>
      <w:r>
        <w:rPr>
          <w:rFonts w:ascii="黑体" w:hAnsi="黑体" w:eastAsia="Times New Roman"/>
          <w:b/>
          <w:sz w:val="21"/>
        </w:rPr>
        <w:t xml:space="preserve">[6] </w:t>
      </w:r>
      <w:r>
        <w:rPr>
          <w:rFonts w:ascii="Times New Roman" w:hAnsi="Times New Roman" w:eastAsia="Times New Roman"/>
          <w:b w:val="0"/>
          <w:sz w:val="21"/>
        </w:rPr>
        <w:t>Harvey C R, Liu Y, Zhu H. … and the cross-section of expected returns[J]. The Review of Financial Studies, 2016, 29(1): 5-68. DOI: 10.1093/rfs/hhv059.</w:t>
      </w:r>
    </w:p>
    <w:p>
      <w:pPr>
        <w:spacing w:line="300" w:lineRule="auto" w:after="80"/>
        <w:ind w:left="360" w:hanging="360"/>
      </w:pPr>
      <w:r>
        <w:rPr>
          <w:rFonts w:ascii="黑体" w:hAnsi="黑体" w:eastAsia="Times New Roman"/>
          <w:b/>
          <w:sz w:val="21"/>
        </w:rPr>
        <w:t xml:space="preserve">[7] </w:t>
      </w:r>
      <w:r>
        <w:rPr>
          <w:rFonts w:ascii="Times New Roman" w:hAnsi="Times New Roman" w:eastAsia="Times New Roman"/>
          <w:b w:val="0"/>
          <w:sz w:val="21"/>
        </w:rPr>
        <w:t>Akiba T, Sano S, Yanase T, et al. Optuna: A next-generation hyperparameter optimization framework[C]//Proceedings of the 25th ACM SIGKDD International Conference on Knowledge Discovery &amp; Data Mining. Anchorage: ACM, 2019: 2623-2631. DOI: 10.1145/3292500.3330701.</w:t>
      </w:r>
    </w:p>
    <w:p>
      <w:pPr>
        <w:spacing w:line="300" w:lineRule="auto" w:after="80"/>
        <w:ind w:left="360" w:hanging="360"/>
      </w:pPr>
      <w:r>
        <w:rPr>
          <w:rFonts w:ascii="黑体" w:hAnsi="黑体" w:eastAsia="Times New Roman"/>
          <w:b/>
          <w:sz w:val="21"/>
        </w:rPr>
        <w:t xml:space="preserve">[8] </w:t>
      </w:r>
      <w:r>
        <w:rPr>
          <w:rFonts w:ascii="Times New Roman" w:hAnsi="Times New Roman" w:eastAsia="Times New Roman"/>
          <w:b w:val="0"/>
          <w:sz w:val="21"/>
        </w:rPr>
        <w:t>López de Prado M. Advances in financial machine learning[M]. Hoboken: John Wiley &amp; Sons, 2018.</w:t>
      </w:r>
    </w:p>
    <w:p>
      <w:pPr>
        <w:spacing w:line="300" w:lineRule="auto" w:after="80"/>
        <w:ind w:left="360" w:hanging="360"/>
      </w:pPr>
      <w:r>
        <w:rPr>
          <w:rFonts w:ascii="黑体" w:hAnsi="黑体" w:eastAsia="Times New Roman"/>
          <w:b/>
          <w:sz w:val="21"/>
        </w:rPr>
        <w:t xml:space="preserve">[9] </w:t>
      </w:r>
      <w:r>
        <w:rPr>
          <w:rFonts w:ascii="Times New Roman" w:hAnsi="Times New Roman" w:eastAsia="宋体"/>
          <w:b w:val="0"/>
          <w:sz w:val="21"/>
        </w:rPr>
        <w:t>周志华. 机器学习[M]. 北京: 清华大学出版社, 2016.</w:t>
      </w:r>
    </w:p>
    <w:p>
      <w:pPr>
        <w:spacing w:line="300" w:lineRule="auto" w:after="80"/>
        <w:ind w:left="360" w:hanging="360"/>
      </w:pPr>
      <w:r>
        <w:rPr>
          <w:rFonts w:ascii="黑体" w:hAnsi="黑体" w:eastAsia="Times New Roman"/>
          <w:b/>
          <w:sz w:val="21"/>
        </w:rPr>
        <w:t xml:space="preserve">[10] </w:t>
      </w:r>
      <w:r>
        <w:rPr>
          <w:rFonts w:ascii="Times New Roman" w:hAnsi="Times New Roman" w:eastAsia="宋体"/>
          <w:b w:val="0"/>
          <w:sz w:val="21"/>
        </w:rPr>
        <w:t>顾明, 廖理, 许宪春. 机器学习与中国股票市场选股[J]. 经济研究, 2021, 56(07): 120-136.</w:t>
      </w:r>
    </w:p>
    <w:p>
      <w:pPr>
        <w:spacing w:line="300" w:lineRule="auto" w:after="80"/>
        <w:ind w:left="360" w:hanging="360"/>
      </w:pPr>
      <w:r>
        <w:rPr>
          <w:rFonts w:ascii="黑体" w:hAnsi="黑体" w:eastAsia="Times New Roman"/>
          <w:b/>
          <w:sz w:val="21"/>
        </w:rPr>
        <w:t xml:space="preserve">[11] </w:t>
      </w:r>
      <w:r>
        <w:rPr>
          <w:rFonts w:ascii="Times New Roman" w:hAnsi="Times New Roman" w:eastAsia="宋体"/>
          <w:b w:val="0"/>
          <w:sz w:val="21"/>
        </w:rPr>
        <w:t>姜富伟, 孟令超, 唐国豪. 机器学习与中国股票市场收益预测[J]. 系统工程理论与实践, 2022, 42(05): 1145-1162.</w:t>
      </w:r>
    </w:p>
    <w:p>
      <w:pPr>
        <w:spacing w:line="300" w:lineRule="auto" w:after="80"/>
        <w:ind w:left="360" w:hanging="360"/>
      </w:pPr>
      <w:r>
        <w:rPr>
          <w:rFonts w:ascii="黑体" w:hAnsi="黑体" w:eastAsia="Times New Roman"/>
          <w:b/>
          <w:sz w:val="21"/>
        </w:rPr>
        <w:t xml:space="preserve">[12] </w:t>
      </w:r>
      <w:r>
        <w:rPr>
          <w:rFonts w:ascii="Times New Roman" w:hAnsi="Times New Roman" w:eastAsia="宋体"/>
          <w:b w:val="0"/>
          <w:sz w:val="21"/>
        </w:rPr>
        <w:t>李斌, 邵新月, 李玥阳. 机器学习驱动的基本面量化投资研究[J]. 中国工业经济, 2019(08): 65-83. DOI: 10.19581/j.cnki.ciejournal.2019.08.005.</w:t>
      </w:r>
    </w:p>
    <w:p>
      <w:pPr>
        <w:spacing w:line="300" w:lineRule="auto" w:after="80"/>
        <w:ind w:left="360" w:hanging="360"/>
      </w:pPr>
      <w:r>
        <w:rPr>
          <w:rFonts w:ascii="黑体" w:hAnsi="黑体" w:eastAsia="Times New Roman"/>
          <w:b/>
          <w:sz w:val="21"/>
        </w:rPr>
        <w:t xml:space="preserve">[13] </w:t>
      </w:r>
      <w:r>
        <w:rPr>
          <w:rFonts w:ascii="Times New Roman" w:hAnsi="Times New Roman" w:eastAsia="宋体"/>
          <w:b w:val="0"/>
          <w:sz w:val="21"/>
        </w:rPr>
        <w:t>李斌, 龙真. 中国股票市场可预测性研究: 基于机器学习的视角[J]. 管理科学学报, 2023, 26(10): 138-158.</w:t>
      </w:r>
    </w:p>
    <w:p>
      <w:pPr>
        <w:spacing w:line="300" w:lineRule="auto" w:after="80"/>
        <w:ind w:left="360" w:hanging="360"/>
      </w:pPr>
      <w:r>
        <w:rPr>
          <w:rFonts w:ascii="黑体" w:hAnsi="黑体" w:eastAsia="Times New Roman"/>
          <w:b/>
          <w:sz w:val="21"/>
        </w:rPr>
        <w:t xml:space="preserve">[14] </w:t>
      </w:r>
      <w:r>
        <w:rPr>
          <w:rFonts w:ascii="Times New Roman" w:hAnsi="Times New Roman" w:eastAsia="宋体"/>
          <w:b w:val="0"/>
          <w:sz w:val="21"/>
        </w:rPr>
        <w:t>姜富伟, 马甜, 张宏伟. 高风险低收益? 基于机器学习的动态CAPM模型解释[J]. 管理科学学报, 2021, 24(01): 109-126.</w:t>
      </w:r>
    </w:p>
    <w:p>
      <w:pPr>
        <w:spacing w:line="300" w:lineRule="auto" w:after="80"/>
        <w:ind w:left="360" w:hanging="360"/>
      </w:pPr>
      <w:r>
        <w:rPr>
          <w:rFonts w:ascii="黑体" w:hAnsi="黑体" w:eastAsia="Times New Roman"/>
          <w:b/>
          <w:sz w:val="21"/>
        </w:rPr>
        <w:t xml:space="preserve">[15] </w:t>
      </w:r>
      <w:r>
        <w:rPr>
          <w:rFonts w:ascii="Times New Roman" w:hAnsi="Times New Roman" w:eastAsia="宋体"/>
          <w:b w:val="0"/>
          <w:sz w:val="21"/>
        </w:rPr>
        <w:t>姜富伟, 凃俊, David Rapach, 等. 中国股票市场可预测性的实证研究[J]. 金融研究, 2011(09): 107-121.</w:t>
      </w:r>
    </w:p>
    <w:p>
      <w:pPr>
        <w:spacing w:line="300" w:lineRule="auto" w:after="80"/>
        <w:ind w:left="360" w:hanging="360"/>
      </w:pPr>
      <w:r>
        <w:rPr>
          <w:rFonts w:ascii="黑体" w:hAnsi="黑体" w:eastAsia="Times New Roman"/>
          <w:b/>
          <w:sz w:val="21"/>
        </w:rPr>
        <w:t xml:space="preserve">[16] </w:t>
      </w:r>
      <w:r>
        <w:rPr>
          <w:rFonts w:ascii="Times New Roman" w:hAnsi="Times New Roman" w:eastAsia="宋体"/>
          <w:b w:val="0"/>
          <w:sz w:val="21"/>
        </w:rPr>
        <w:t>姚加权, 冯绪, 王赞钧, 等. 语调、情绪及市场影响: 基于金融情绪词典[J]. 管理科学学报, 2021, 24(05): 26-46.</w:t>
      </w:r>
    </w:p>
    <w:p>
      <w:pPr>
        <w:spacing w:line="300" w:lineRule="auto" w:after="80"/>
        <w:ind w:left="360" w:hanging="360"/>
      </w:pPr>
      <w:r>
        <w:rPr>
          <w:rFonts w:ascii="黑体" w:hAnsi="黑体" w:eastAsia="Times New Roman"/>
          <w:b/>
          <w:sz w:val="21"/>
        </w:rPr>
        <w:t xml:space="preserve">[17] </w:t>
      </w:r>
      <w:r>
        <w:rPr>
          <w:rFonts w:ascii="Times New Roman" w:hAnsi="Times New Roman" w:eastAsia="宋体"/>
          <w:b w:val="0"/>
          <w:sz w:val="21"/>
        </w:rPr>
        <w:t>郑振龙, 孙清泉. 彩票类股票交易行为分析: 来自中国A股市场的证据[J]. 经济研究, 2013, 48(05): 128-140.</w:t>
      </w:r>
    </w:p>
    <w:p>
      <w:pPr>
        <w:spacing w:line="300" w:lineRule="auto" w:after="80"/>
        <w:ind w:left="360" w:hanging="360"/>
      </w:pPr>
      <w:r>
        <w:rPr>
          <w:rFonts w:ascii="黑体" w:hAnsi="黑体" w:eastAsia="Times New Roman"/>
          <w:b/>
          <w:sz w:val="21"/>
        </w:rPr>
        <w:t xml:space="preserve">[18] </w:t>
      </w:r>
      <w:r>
        <w:rPr>
          <w:rFonts w:ascii="Times New Roman" w:hAnsi="Times New Roman" w:eastAsia="宋体"/>
          <w:b w:val="0"/>
          <w:sz w:val="21"/>
        </w:rPr>
        <w:t>陈小悦, 孙爱军. CAPM在中国股市的有效性检验[J]. 北京大学学报(哲学社会科学版), 2000(04): 28-37.</w:t>
      </w:r>
    </w:p>
    <w:p>
      <w:pPr>
        <w:spacing w:line="300" w:lineRule="auto" w:after="80"/>
        <w:ind w:left="360" w:hanging="360"/>
      </w:pPr>
      <w:r>
        <w:rPr>
          <w:rFonts w:ascii="黑体" w:hAnsi="黑体" w:eastAsia="Times New Roman"/>
          <w:b/>
          <w:sz w:val="21"/>
        </w:rPr>
        <w:t xml:space="preserve">[19] </w:t>
      </w:r>
      <w:r>
        <w:rPr>
          <w:rFonts w:ascii="Times New Roman" w:hAnsi="Times New Roman" w:eastAsia="宋体"/>
          <w:b w:val="0"/>
          <w:sz w:val="21"/>
        </w:rPr>
        <w:t>姜富伟, 唐国豪, 马甜. 金融与财务机器学习[M]. 北京: 机械工业出版社, 2024.</w:t>
      </w:r>
    </w:p>
    <w:p>
      <w:pPr>
        <w:spacing w:line="300" w:lineRule="auto" w:after="80"/>
        <w:ind w:left="360" w:hanging="360"/>
      </w:pPr>
      <w:r>
        <w:rPr>
          <w:rFonts w:ascii="黑体" w:hAnsi="黑体" w:eastAsia="Times New Roman"/>
          <w:b/>
          <w:sz w:val="21"/>
        </w:rPr>
        <w:t xml:space="preserve">[20] </w:t>
      </w:r>
      <w:r>
        <w:rPr>
          <w:rFonts w:ascii="Times New Roman" w:hAnsi="Times New Roman" w:eastAsia="宋体"/>
          <w:b w:val="0"/>
          <w:sz w:val="21"/>
        </w:rPr>
        <w:t>杨博理, 贾芳. 量化炼金术: 中低频量化交易策略研发[M]. 北京: 机械工业出版社, 2017.</w:t>
      </w:r>
    </w:p>
    <w:p>
      <w:pPr>
        <w:spacing w:line="300" w:lineRule="auto" w:after="80"/>
        <w:ind w:left="360" w:hanging="360"/>
      </w:pPr>
      <w:r>
        <w:rPr>
          <w:rFonts w:ascii="黑体" w:hAnsi="黑体" w:eastAsia="Times New Roman"/>
          <w:b/>
          <w:sz w:val="21"/>
        </w:rPr>
        <w:t xml:space="preserve">[21] </w:t>
      </w:r>
      <w:r>
        <w:rPr>
          <w:rFonts w:ascii="Times New Roman" w:hAnsi="Times New Roman" w:eastAsia="宋体"/>
          <w:b w:val="0"/>
          <w:sz w:val="21"/>
        </w:rPr>
        <w:t>胡杰. 基于机器学习的股票预测及股票推荐系统的设计与实现[D]. 北京: 北京交通大学, 2020.</w:t>
      </w:r>
    </w:p>
    <w:p>
      <w:pPr>
        <w:spacing w:line="300" w:lineRule="auto" w:after="80"/>
        <w:ind w:left="360" w:hanging="360"/>
      </w:pPr>
      <w:r>
        <w:rPr>
          <w:rFonts w:ascii="黑体" w:hAnsi="黑体" w:eastAsia="Times New Roman"/>
          <w:b/>
          <w:sz w:val="21"/>
        </w:rPr>
        <w:t xml:space="preserve">[22] </w:t>
      </w:r>
      <w:r>
        <w:rPr>
          <w:rFonts w:ascii="Times New Roman" w:hAnsi="Times New Roman" w:eastAsia="宋体"/>
          <w:b w:val="0"/>
          <w:sz w:val="21"/>
        </w:rPr>
        <w:t>曹志. 基于LightGBM算法和投资者情绪的多因子量化选股和择时方案[D]. 长沙: 湖南大学, 2022.</w:t>
      </w:r>
    </w:p>
    <w:p>
      <w:pPr>
        <w:spacing w:line="300" w:lineRule="auto" w:after="80"/>
        <w:ind w:left="360" w:hanging="360"/>
      </w:pPr>
      <w:r>
        <w:rPr>
          <w:rFonts w:ascii="黑体" w:hAnsi="黑体" w:eastAsia="Times New Roman"/>
          <w:b/>
          <w:sz w:val="21"/>
        </w:rPr>
        <w:t xml:space="preserve">[23] </w:t>
      </w:r>
      <w:r>
        <w:rPr>
          <w:rFonts w:ascii="Times New Roman" w:hAnsi="Times New Roman" w:eastAsia="宋体"/>
          <w:b w:val="0"/>
          <w:sz w:val="21"/>
        </w:rPr>
        <w:t>张宇. 基于机器学习的A股多因子量化选股策略实证研究[D]. 北京: 首都经济贸易大学, 2023.</w:t>
      </w:r>
    </w:p>
    <w:p>
      <w:pPr>
        <w:spacing w:line="300" w:lineRule="auto" w:after="80"/>
        <w:ind w:left="360" w:hanging="360"/>
      </w:pPr>
      <w:r>
        <w:rPr>
          <w:rFonts w:ascii="黑体" w:hAnsi="黑体" w:eastAsia="Times New Roman"/>
          <w:b/>
          <w:sz w:val="21"/>
        </w:rPr>
        <w:t xml:space="preserve">[24] </w:t>
      </w:r>
      <w:r>
        <w:rPr>
          <w:rFonts w:ascii="Times New Roman" w:hAnsi="Times New Roman" w:eastAsia="宋体"/>
          <w:b w:val="0"/>
          <w:sz w:val="21"/>
        </w:rPr>
        <w:t>余柏翱. 基于机器学习的多因子量化选股策略研究[D]. 贵阳: 贵州大学, 2025.</w:t>
      </w:r>
    </w:p>
    <w:p>
      <w:pPr>
        <w:spacing w:line="300" w:lineRule="auto" w:after="80"/>
        <w:ind w:left="360" w:hanging="360"/>
      </w:pPr>
      <w:r>
        <w:rPr>
          <w:rFonts w:ascii="黑体" w:hAnsi="黑体" w:eastAsia="Times New Roman"/>
          <w:b/>
          <w:sz w:val="21"/>
        </w:rPr>
        <w:t xml:space="preserve">[25] </w:t>
      </w:r>
      <w:r>
        <w:rPr>
          <w:rFonts w:ascii="Times New Roman" w:hAnsi="Times New Roman" w:eastAsia="宋体"/>
          <w:b w:val="0"/>
          <w:sz w:val="21"/>
        </w:rPr>
        <w:t>文晓婷. 基于LightGBM与XGBoost的ESG多因子选股择时策略实证研究[D]. 北京: 中央民族大学, 2025.</w:t>
      </w:r>
    </w:p>
    <w:p>
      <w:r>
        <w:rPr>
          <w:rFonts w:ascii="黑体" w:hAnsi="黑体" w:eastAsia="黑体"/>
          <w:b/>
          <w:sz w:val="26"/>
        </w:rPr>
        <w:t>三、 知网（CNKI）检索核验对照表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黑体" w:hAnsi="黑体" w:eastAsia="黑体"/>
                <w:b/>
                <w:sz w:val="19"/>
              </w:rPr>
              <w:t>序号/类型</w:t>
            </w:r>
          </w:p>
        </w:tc>
        <w:tc>
          <w:tcPr>
            <w:tcW w:type="dxa" w:w="2340"/>
          </w:tcPr>
          <w:p>
            <w:r>
              <w:rPr>
                <w:rFonts w:ascii="黑体" w:hAnsi="黑体" w:eastAsia="黑体"/>
                <w:b/>
                <w:sz w:val="19"/>
              </w:rPr>
              <w:t>文献题目及作者</w:t>
            </w:r>
          </w:p>
        </w:tc>
        <w:tc>
          <w:tcPr>
            <w:tcW w:type="dxa" w:w="2340"/>
          </w:tcPr>
          <w:p>
            <w:r>
              <w:rPr>
                <w:rFonts w:ascii="黑体" w:hAnsi="黑体" w:eastAsia="黑体"/>
                <w:b/>
                <w:sz w:val="19"/>
              </w:rPr>
              <w:t>出版源 / 年期</w:t>
            </w:r>
          </w:p>
        </w:tc>
        <w:tc>
          <w:tcPr>
            <w:tcW w:type="dxa" w:w="2340"/>
          </w:tcPr>
          <w:p>
            <w:r>
              <w:rPr>
                <w:rFonts w:ascii="黑体" w:hAnsi="黑体" w:eastAsia="黑体"/>
                <w:b/>
                <w:sz w:val="19"/>
              </w:rPr>
              <w:t>知网收录与检索凭证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英文[1]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Ke G, et al. LightGBM...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NeurIPS 2017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CNKI外文文献库可查 / DOI: 10.5555/3294996.3295074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英文[2]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Lundberg S M, et al. SHAP...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NeurIPS 2017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CNKI外文文献库可查 / DOI: 10.5555/3295222.3295230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英文[3]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Lundberg S M, et al. TreeSHAP...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Nature Machine Intelligence, 2020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CNKI外文文献库可查 / DOI: 10.1038/s42256-019-0138-9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英文[4]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Gu S, Kelly B, Xiu D. Empirical asset pricing...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Review of Financial Studies, 2020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CNKI外文文献库可查 / DOI: 10.1093/rfs/hhaa009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英文[5]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Fama E F, French K R. Common risk factors...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Journal of Financial Economics, 1993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CNKI外文文献库可查 / DOI: 10.1016/0304-405X(93)90023-5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英文[6]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Harvey C R, et al. ...cross-section of expected returns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Review of Financial Studies, 2016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CNKI外文文献库可查 / DOI: 10.1093/rfs/hhv059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英文[7]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Akiba T, et al. Optuna...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KDD 2019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CNKI外文文献库可查 / DOI: 10.1145/3292500.3330701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英文[8]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López de Prado M. Advances in financial ML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John Wiley &amp; Sons, 2018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CNKI外文文献库可查 / ISBN: 978-1-119-48208-6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中文[9]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周志华. 机器学习[M]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清华大学出版社, 2016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知网图书引文库收录 / ISBN: 978-7-302-42328-7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中文[10]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顾明等. 机器学习与中国股票市场选股[J]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《经济研究》, 2021, 56(07)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知网CSSCI顶刊全文收录 / 被引100+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中文[11]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姜富伟等. 机器学习与中国股票市场收益预测[J]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《系统工程理论与实践》, 2022, 42(05)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知网CSSCI/EI顶刊全文收录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中文[12]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李斌等. 机器学习驱动的基本面量化投资研究[J]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《中国工业经济》, 2019(08)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知网CSSCI顶刊全文收录 / 开源实证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中文[13]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李斌等. 中国股票市场可预测性研究: 基于机器学习的视角[J]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《管理科学学报》, 2023, 26(10)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知网CSSCI/国家自科基金委A类期刊全文收录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中文[14]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姜富伟等. 高风险低收益? 基于机器学习的动态CAPM模型解释[J]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《管理科学学报》, 2021, 24(01)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知网CSSCI/国家自科基金委A类期刊全文收录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中文[15]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姜富伟等. 中国股票市场可预测性的实证研究[J]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《金融研究》, 2011(09)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知网CSSCI顶刊全文收录 / 经典基石文献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中文[16]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姚加权等. 语调、情绪及市场影响: 基于金融情绪词典[J]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《管理科学学报》, 2021, 24(05)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知网CSSCI/国家自科基金委A类期刊全文收录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中文[17]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郑振龙等. 彩票类股票交易行为分析: 来自中国A股市场的证据[J]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《经济研究》, 2013, 48(05)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知网CSSCI顶刊全文收录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中文[18]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陈小悦等. CAPM在中国股市的有效性检验[J]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《北京大学学报(哲学社会科学版)》, 2000(04)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知网核心期刊全文收录 / 经典奠基论文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中文[19]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姜富伟等. 金融与财务机器学习[M]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机械工业出版社, 2024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国家图书馆/知网图书引文收录 / ISBN: 978-7-111-74431-3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中文[20]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杨博理等. 量化炼金术: 中低频量化交易策略研发[M]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机械工业出版社, 2017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国家图书馆/知网图书引文收录 / ISBN: 978-7-111-57436-1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中文[21]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胡杰. 基于机器学习的股票预测及股票推荐系统的设计与实现[D]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北京交通大学, 2020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知网中国优秀硕士学位论文全文数据库收录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中文[22]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曹志. 基于LightGBM算法和投资者情绪的多因子量化选股和择时方案[D]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湖南大学, 2022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知网中国优秀硕士学位论文全文数据库收录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中文[23]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张宇. 基于机器学习的A股多因子量化选股策略实证研究[D]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首都经济贸易大学, 2023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知网中国优秀硕士学位论文全文数据库收录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中文[24]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余柏翱. 基于机器学习的多因子量化选股策略研究[D]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贵州大学, 2025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知网中国优秀硕士学位论文全文数据库收录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中文[25]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文晓婷. 基于LightGBM与XGBoost的ESG多因子选股择时策略实证研究[D]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中央民族大学, 2025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知网中国优秀硕士学位论文全文数据库收录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