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E21ED3C">
      <w:pPr>
        <w:spacing w:before="50" w:after="50" w:line="360" w:lineRule="auto"/>
        <w:jc w:val="left"/>
        <w:rPr>
          <w:rFonts w:ascii="华文楷体" w:hAnsi="华文楷体" w:eastAsia="华文楷体"/>
          <w:b/>
          <w:sz w:val="36"/>
          <w:szCs w:val="36"/>
        </w:rPr>
      </w:pPr>
      <w:r>
        <w:rPr>
          <w:rFonts w:ascii="黑体" w:eastAsia="黑体"/>
          <w:b/>
          <w:sz w:val="36"/>
          <w:szCs w:val="36"/>
        </w:rPr>
        <w:tab/>
      </w:r>
      <w:r>
        <w:rPr>
          <w:rFonts w:hint="eastAsia" w:ascii="华文楷体" w:hAnsi="华文楷体" w:eastAsia="华文楷体"/>
          <w:b/>
          <w:sz w:val="36"/>
          <w:szCs w:val="36"/>
        </w:rPr>
        <w:t xml:space="preserve"> </w:t>
      </w:r>
    </w:p>
    <w:p w14:paraId="37666822">
      <w:pPr>
        <w:spacing w:before="312" w:beforeLines="100" w:after="0"/>
        <w:rPr>
          <w:rFonts w:ascii="等线" w:hAnsi="等线" w:eastAsia="等线"/>
          <w:color w:val="000000"/>
          <w:szCs w:val="22"/>
        </w:rPr>
      </w:pPr>
      <w:r>
        <w:rPr>
          <w:rFonts w:ascii="等线" w:hAnsi="等线" w:eastAsia="等线"/>
          <w:color w:val="000000"/>
          <w:szCs w:val="22"/>
        </w:rPr>
        <w:drawing>
          <wp:inline distT="0" distB="0" distL="0" distR="0">
            <wp:extent cx="904875" cy="866775"/>
            <wp:effectExtent l="0" t="0" r="0" b="0"/>
            <wp:docPr id="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904875" cy="866775"/>
                    </a:xfrm>
                    <a:prstGeom prst="rect">
                      <a:avLst/>
                    </a:prstGeom>
                    <a:noFill/>
                    <a:ln>
                      <a:noFill/>
                    </a:ln>
                  </pic:spPr>
                </pic:pic>
              </a:graphicData>
            </a:graphic>
          </wp:inline>
        </w:drawing>
      </w:r>
      <w:r>
        <w:rPr>
          <w:rFonts w:hint="eastAsia" w:ascii="等线" w:hAnsi="等线" w:eastAsia="等线"/>
          <w:color w:val="000000"/>
          <w:szCs w:val="22"/>
        </w:rPr>
        <w:t xml:space="preserve"> </w:t>
      </w:r>
      <w:r>
        <w:rPr>
          <w:rFonts w:ascii="等线" w:hAnsi="等线" w:eastAsia="等线"/>
          <w:color w:val="000000"/>
          <w:szCs w:val="22"/>
        </w:rPr>
        <w:drawing>
          <wp:inline distT="0" distB="0" distL="0" distR="0">
            <wp:extent cx="4210050" cy="981075"/>
            <wp:effectExtent l="0" t="0" r="0" b="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4210050" cy="981075"/>
                    </a:xfrm>
                    <a:prstGeom prst="rect">
                      <a:avLst/>
                    </a:prstGeom>
                    <a:noFill/>
                    <a:ln>
                      <a:noFill/>
                    </a:ln>
                  </pic:spPr>
                </pic:pic>
              </a:graphicData>
            </a:graphic>
          </wp:inline>
        </w:drawing>
      </w:r>
    </w:p>
    <w:p w14:paraId="4E810EDB">
      <w:pPr>
        <w:jc w:val="center"/>
        <w:rPr>
          <w:rFonts w:ascii="宋体" w:hAnsi="宋体" w:eastAsia="等线"/>
          <w:b/>
          <w:color w:val="000000"/>
          <w:sz w:val="36"/>
          <w:szCs w:val="36"/>
        </w:rPr>
      </w:pPr>
    </w:p>
    <w:p w14:paraId="4A2FC5E5">
      <w:pPr>
        <w:spacing w:before="312" w:beforeLines="100" w:after="0"/>
        <w:jc w:val="center"/>
        <w:rPr>
          <w:rFonts w:ascii="黑体" w:hAnsi="等线" w:eastAsia="黑体"/>
          <w:b/>
          <w:sz w:val="56"/>
          <w:szCs w:val="22"/>
        </w:rPr>
      </w:pPr>
      <w:r>
        <w:rPr>
          <w:rFonts w:hint="eastAsia" w:ascii="黑体" w:hAnsi="等线" w:eastAsia="黑体"/>
          <w:b/>
          <w:sz w:val="56"/>
          <w:szCs w:val="22"/>
        </w:rPr>
        <w:t>本科毕业论文（设计）任务书</w:t>
      </w:r>
    </w:p>
    <w:p w14:paraId="76827D82">
      <w:pPr>
        <w:spacing w:after="0" w:line="500" w:lineRule="exact"/>
        <w:rPr>
          <w:rFonts w:ascii="黑体" w:hAnsi="等线" w:eastAsia="黑体"/>
          <w:sz w:val="32"/>
          <w:szCs w:val="22"/>
        </w:rPr>
      </w:pPr>
    </w:p>
    <w:tbl>
      <w:tblPr>
        <w:tblStyle w:val="7"/>
        <w:tblW w:w="0" w:type="dxa"/>
        <w:tblInd w:w="534" w:type="dxa"/>
        <w:tblLayout w:type="autofit"/>
        <w:tblCellMar>
          <w:top w:w="0" w:type="dxa"/>
          <w:left w:w="108" w:type="dxa"/>
          <w:bottom w:w="0" w:type="dxa"/>
          <w:right w:w="108" w:type="dxa"/>
        </w:tblCellMar>
      </w:tblPr>
      <w:tblGrid>
        <w:gridCol w:w="1734"/>
        <w:gridCol w:w="2536"/>
        <w:gridCol w:w="866"/>
        <w:gridCol w:w="2835"/>
      </w:tblGrid>
      <w:tr w14:paraId="739F3557">
        <w:tblPrEx>
          <w:tblCellMar>
            <w:top w:w="0" w:type="dxa"/>
            <w:left w:w="108" w:type="dxa"/>
            <w:bottom w:w="0" w:type="dxa"/>
            <w:right w:w="108" w:type="dxa"/>
          </w:tblCellMar>
        </w:tblPrEx>
        <w:trPr>
          <w:trHeight w:val="816" w:hRule="atLeast"/>
        </w:trPr>
        <w:tc>
          <w:tcPr>
            <w:tcW w:w="1734" w:type="dxa"/>
            <w:shd w:val="clear" w:color="auto" w:fill="auto"/>
            <w:vAlign w:val="bottom"/>
          </w:tcPr>
          <w:p w14:paraId="2375A973">
            <w:pPr>
              <w:spacing w:after="0" w:line="360" w:lineRule="exact"/>
              <w:jc w:val="center"/>
              <w:rPr>
                <w:rFonts w:ascii="宋体" w:hAnsi="宋体"/>
                <w:sz w:val="32"/>
                <w:szCs w:val="32"/>
              </w:rPr>
            </w:pPr>
            <w:r>
              <w:rPr>
                <w:rFonts w:hint="eastAsia" w:ascii="宋体" w:hAnsi="宋体"/>
                <w:b/>
                <w:sz w:val="32"/>
                <w:szCs w:val="32"/>
              </w:rPr>
              <w:t xml:space="preserve">题 </w:t>
            </w:r>
            <w:r>
              <w:rPr>
                <w:rFonts w:ascii="宋体" w:hAnsi="宋体"/>
                <w:b/>
                <w:sz w:val="32"/>
                <w:szCs w:val="32"/>
              </w:rPr>
              <w:t xml:space="preserve">   </w:t>
            </w:r>
            <w:r>
              <w:rPr>
                <w:rFonts w:hint="eastAsia" w:ascii="宋体" w:hAnsi="宋体"/>
                <w:b/>
                <w:sz w:val="32"/>
                <w:szCs w:val="32"/>
              </w:rPr>
              <w:t>目</w:t>
            </w:r>
          </w:p>
        </w:tc>
        <w:tc>
          <w:tcPr>
            <w:tcW w:w="6237" w:type="dxa"/>
            <w:gridSpan w:val="3"/>
            <w:tcBorders>
              <w:bottom w:val="single" w:color="auto" w:sz="4" w:space="0"/>
            </w:tcBorders>
            <w:shd w:val="clear" w:color="auto" w:fill="auto"/>
            <w:vAlign w:val="bottom"/>
          </w:tcPr>
          <w:p w14:paraId="1BCE37D5">
            <w:pPr>
              <w:spacing w:after="0" w:line="360" w:lineRule="exact"/>
              <w:jc w:val="left"/>
              <w:rPr>
                <w:rFonts w:ascii="宋体" w:hAnsi="宋体"/>
                <w:bCs/>
                <w:sz w:val="32"/>
                <w:szCs w:val="32"/>
              </w:rPr>
            </w:pPr>
            <w:r/>
            <w:r>
              <w:rPr>
                <w:rFonts w:ascii="Times New Roman" w:hAnsi="Times New Roman" w:eastAsia="宋体"/>
                <w:b w:val="0"/>
                <w:sz w:val="24"/>
              </w:rPr>
              <w:t>基于LightGBM与特征归因的股票推荐系统</w:t>
            </w:r>
          </w:p>
        </w:tc>
      </w:tr>
      <w:tr w14:paraId="0C34CB97">
        <w:tblPrEx>
          <w:tblCellMar>
            <w:top w:w="0" w:type="dxa"/>
            <w:left w:w="108" w:type="dxa"/>
            <w:bottom w:w="0" w:type="dxa"/>
            <w:right w:w="108" w:type="dxa"/>
          </w:tblCellMar>
        </w:tblPrEx>
        <w:trPr>
          <w:trHeight w:val="654" w:hRule="atLeast"/>
        </w:trPr>
        <w:tc>
          <w:tcPr>
            <w:tcW w:w="1734" w:type="dxa"/>
            <w:shd w:val="clear" w:color="auto" w:fill="auto"/>
            <w:vAlign w:val="bottom"/>
          </w:tcPr>
          <w:p w14:paraId="0A583B65">
            <w:pPr>
              <w:spacing w:after="0" w:line="360" w:lineRule="exact"/>
              <w:jc w:val="center"/>
              <w:rPr>
                <w:rFonts w:ascii="宋体" w:hAnsi="宋体"/>
                <w:sz w:val="32"/>
                <w:szCs w:val="32"/>
              </w:rPr>
            </w:pPr>
            <w:r>
              <w:rPr>
                <w:rFonts w:hint="eastAsia" w:ascii="宋体" w:hAnsi="宋体"/>
                <w:b/>
                <w:sz w:val="32"/>
                <w:szCs w:val="32"/>
              </w:rPr>
              <w:t xml:space="preserve">学 </w:t>
            </w:r>
            <w:r>
              <w:rPr>
                <w:rFonts w:ascii="宋体" w:hAnsi="宋体"/>
                <w:b/>
                <w:sz w:val="32"/>
                <w:szCs w:val="32"/>
              </w:rPr>
              <w:t xml:space="preserve">   </w:t>
            </w:r>
            <w:r>
              <w:rPr>
                <w:rFonts w:hint="eastAsia" w:ascii="宋体" w:hAnsi="宋体"/>
                <w:b/>
                <w:sz w:val="32"/>
                <w:szCs w:val="32"/>
              </w:rPr>
              <w:t>院</w:t>
            </w:r>
          </w:p>
        </w:tc>
        <w:tc>
          <w:tcPr>
            <w:tcW w:w="6237" w:type="dxa"/>
            <w:gridSpan w:val="3"/>
            <w:tcBorders>
              <w:top w:val="single" w:color="auto" w:sz="4" w:space="0"/>
              <w:bottom w:val="single" w:color="auto" w:sz="4" w:space="0"/>
            </w:tcBorders>
            <w:shd w:val="clear" w:color="auto" w:fill="auto"/>
            <w:vAlign w:val="bottom"/>
          </w:tcPr>
          <w:p w14:paraId="0AFF8CE6">
            <w:pPr>
              <w:spacing w:after="0" w:line="360" w:lineRule="exact"/>
              <w:jc w:val="left"/>
              <w:rPr>
                <w:rFonts w:ascii="宋体" w:hAnsi="宋体"/>
                <w:bCs/>
                <w:sz w:val="32"/>
                <w:szCs w:val="32"/>
              </w:rPr>
            </w:pPr>
            <w:r/>
            <w:r>
              <w:rPr>
                <w:rFonts w:ascii="Times New Roman" w:hAnsi="Times New Roman" w:eastAsia="宋体"/>
                <w:b w:val="0"/>
                <w:sz w:val="24"/>
              </w:rPr>
              <w:t>[待填写]</w:t>
            </w:r>
          </w:p>
        </w:tc>
      </w:tr>
      <w:tr w14:paraId="6F9033DF">
        <w:tblPrEx>
          <w:tblCellMar>
            <w:top w:w="0" w:type="dxa"/>
            <w:left w:w="108" w:type="dxa"/>
            <w:bottom w:w="0" w:type="dxa"/>
            <w:right w:w="108" w:type="dxa"/>
          </w:tblCellMar>
        </w:tblPrEx>
        <w:trPr>
          <w:trHeight w:val="692" w:hRule="atLeast"/>
        </w:trPr>
        <w:tc>
          <w:tcPr>
            <w:tcW w:w="1734" w:type="dxa"/>
            <w:shd w:val="clear" w:color="auto" w:fill="auto"/>
            <w:vAlign w:val="bottom"/>
          </w:tcPr>
          <w:p w14:paraId="2DEF5272">
            <w:pPr>
              <w:spacing w:after="0" w:line="360" w:lineRule="exact"/>
              <w:jc w:val="center"/>
              <w:rPr>
                <w:rFonts w:ascii="宋体" w:hAnsi="宋体"/>
                <w:sz w:val="32"/>
                <w:szCs w:val="32"/>
              </w:rPr>
            </w:pPr>
            <w:r>
              <w:rPr>
                <w:rFonts w:hint="eastAsia" w:ascii="宋体" w:hAnsi="宋体"/>
                <w:b/>
                <w:sz w:val="32"/>
                <w:szCs w:val="32"/>
              </w:rPr>
              <w:t xml:space="preserve">专 </w:t>
            </w:r>
            <w:r>
              <w:rPr>
                <w:rFonts w:ascii="宋体" w:hAnsi="宋体"/>
                <w:b/>
                <w:sz w:val="32"/>
                <w:szCs w:val="32"/>
              </w:rPr>
              <w:t xml:space="preserve">   </w:t>
            </w:r>
            <w:r>
              <w:rPr>
                <w:rFonts w:hint="eastAsia" w:ascii="宋体" w:hAnsi="宋体"/>
                <w:b/>
                <w:sz w:val="32"/>
                <w:szCs w:val="32"/>
              </w:rPr>
              <w:t>业</w:t>
            </w:r>
          </w:p>
        </w:tc>
        <w:tc>
          <w:tcPr>
            <w:tcW w:w="6237" w:type="dxa"/>
            <w:gridSpan w:val="3"/>
            <w:tcBorders>
              <w:top w:val="single" w:color="auto" w:sz="4" w:space="0"/>
              <w:bottom w:val="single" w:color="auto" w:sz="4" w:space="0"/>
            </w:tcBorders>
            <w:shd w:val="clear" w:color="auto" w:fill="auto"/>
            <w:vAlign w:val="bottom"/>
          </w:tcPr>
          <w:p w14:paraId="6B2A4E5C">
            <w:pPr>
              <w:spacing w:after="0" w:line="360" w:lineRule="exact"/>
              <w:jc w:val="left"/>
              <w:rPr>
                <w:rFonts w:ascii="宋体" w:hAnsi="宋体"/>
                <w:bCs/>
                <w:sz w:val="32"/>
                <w:szCs w:val="32"/>
              </w:rPr>
            </w:pPr>
            <w:r/>
            <w:r>
              <w:rPr>
                <w:rFonts w:ascii="Times New Roman" w:hAnsi="Times New Roman" w:eastAsia="宋体"/>
                <w:b w:val="0"/>
                <w:sz w:val="24"/>
              </w:rPr>
              <w:t>[待填写]</w:t>
            </w:r>
          </w:p>
        </w:tc>
      </w:tr>
      <w:tr w14:paraId="67454F43">
        <w:tblPrEx>
          <w:tblCellMar>
            <w:top w:w="0" w:type="dxa"/>
            <w:left w:w="108" w:type="dxa"/>
            <w:bottom w:w="0" w:type="dxa"/>
            <w:right w:w="108" w:type="dxa"/>
          </w:tblCellMar>
        </w:tblPrEx>
        <w:trPr>
          <w:trHeight w:val="717" w:hRule="atLeast"/>
        </w:trPr>
        <w:tc>
          <w:tcPr>
            <w:tcW w:w="1734" w:type="dxa"/>
            <w:shd w:val="clear" w:color="auto" w:fill="auto"/>
            <w:vAlign w:val="bottom"/>
          </w:tcPr>
          <w:p w14:paraId="49AACFA5">
            <w:pPr>
              <w:spacing w:after="0" w:line="360" w:lineRule="exact"/>
              <w:jc w:val="center"/>
              <w:rPr>
                <w:rFonts w:ascii="宋体" w:hAnsi="宋体"/>
                <w:sz w:val="32"/>
                <w:szCs w:val="32"/>
              </w:rPr>
            </w:pPr>
            <w:r>
              <w:rPr>
                <w:rFonts w:hint="eastAsia" w:ascii="宋体" w:hAnsi="宋体"/>
                <w:b/>
                <w:sz w:val="32"/>
                <w:szCs w:val="32"/>
              </w:rPr>
              <w:t xml:space="preserve">年 </w:t>
            </w:r>
            <w:r>
              <w:rPr>
                <w:rFonts w:ascii="宋体" w:hAnsi="宋体"/>
                <w:b/>
                <w:sz w:val="32"/>
                <w:szCs w:val="32"/>
              </w:rPr>
              <w:t xml:space="preserve">   </w:t>
            </w:r>
            <w:r>
              <w:rPr>
                <w:rFonts w:hint="eastAsia" w:ascii="宋体" w:hAnsi="宋体"/>
                <w:b/>
                <w:sz w:val="32"/>
                <w:szCs w:val="32"/>
              </w:rPr>
              <w:t>级</w:t>
            </w:r>
          </w:p>
        </w:tc>
        <w:tc>
          <w:tcPr>
            <w:tcW w:w="6237" w:type="dxa"/>
            <w:gridSpan w:val="3"/>
            <w:tcBorders>
              <w:top w:val="single" w:color="auto" w:sz="4" w:space="0"/>
              <w:bottom w:val="single" w:color="auto" w:sz="4" w:space="0"/>
            </w:tcBorders>
            <w:shd w:val="clear" w:color="auto" w:fill="auto"/>
            <w:vAlign w:val="bottom"/>
          </w:tcPr>
          <w:p w14:paraId="373ADF3C">
            <w:pPr>
              <w:spacing w:after="0" w:line="360" w:lineRule="exact"/>
              <w:jc w:val="left"/>
              <w:rPr>
                <w:rFonts w:ascii="宋体" w:hAnsi="宋体"/>
                <w:bCs/>
                <w:sz w:val="32"/>
                <w:szCs w:val="32"/>
              </w:rPr>
            </w:pPr>
            <w:r/>
            <w:r>
              <w:rPr>
                <w:rFonts w:ascii="Times New Roman" w:hAnsi="Times New Roman" w:eastAsia="宋体"/>
                <w:b w:val="0"/>
                <w:sz w:val="24"/>
              </w:rPr>
              <w:t>[待填写]</w:t>
            </w:r>
          </w:p>
        </w:tc>
      </w:tr>
      <w:tr w14:paraId="546FCE2B">
        <w:tblPrEx>
          <w:tblCellMar>
            <w:top w:w="0" w:type="dxa"/>
            <w:left w:w="108" w:type="dxa"/>
            <w:bottom w:w="0" w:type="dxa"/>
            <w:right w:w="108" w:type="dxa"/>
          </w:tblCellMar>
        </w:tblPrEx>
        <w:trPr>
          <w:trHeight w:val="684" w:hRule="atLeast"/>
        </w:trPr>
        <w:tc>
          <w:tcPr>
            <w:tcW w:w="1734" w:type="dxa"/>
            <w:shd w:val="clear" w:color="auto" w:fill="auto"/>
            <w:vAlign w:val="bottom"/>
          </w:tcPr>
          <w:p w14:paraId="49EA8D27">
            <w:pPr>
              <w:spacing w:after="0" w:line="360" w:lineRule="exact"/>
              <w:jc w:val="center"/>
              <w:rPr>
                <w:rFonts w:ascii="宋体" w:hAnsi="宋体"/>
                <w:sz w:val="32"/>
                <w:szCs w:val="32"/>
              </w:rPr>
            </w:pPr>
            <w:r>
              <w:rPr>
                <w:rFonts w:hint="eastAsia" w:ascii="宋体" w:hAnsi="宋体"/>
                <w:b/>
                <w:sz w:val="32"/>
                <w:szCs w:val="32"/>
              </w:rPr>
              <w:t xml:space="preserve">班 </w:t>
            </w:r>
            <w:r>
              <w:rPr>
                <w:rFonts w:ascii="宋体" w:hAnsi="宋体"/>
                <w:b/>
                <w:sz w:val="32"/>
                <w:szCs w:val="32"/>
              </w:rPr>
              <w:t xml:space="preserve">   </w:t>
            </w:r>
            <w:r>
              <w:rPr>
                <w:rFonts w:hint="eastAsia" w:ascii="宋体" w:hAnsi="宋体"/>
                <w:b/>
                <w:sz w:val="32"/>
                <w:szCs w:val="32"/>
              </w:rPr>
              <w:t>级</w:t>
            </w:r>
          </w:p>
        </w:tc>
        <w:tc>
          <w:tcPr>
            <w:tcW w:w="6237" w:type="dxa"/>
            <w:gridSpan w:val="3"/>
            <w:tcBorders>
              <w:top w:val="single" w:color="auto" w:sz="4" w:space="0"/>
              <w:bottom w:val="single" w:color="auto" w:sz="4" w:space="0"/>
            </w:tcBorders>
            <w:shd w:val="clear" w:color="auto" w:fill="auto"/>
            <w:vAlign w:val="bottom"/>
          </w:tcPr>
          <w:p w14:paraId="1908DE44">
            <w:pPr>
              <w:spacing w:after="0" w:line="360" w:lineRule="exact"/>
              <w:jc w:val="left"/>
              <w:rPr>
                <w:rFonts w:ascii="宋体" w:hAnsi="宋体"/>
                <w:bCs/>
                <w:sz w:val="32"/>
                <w:szCs w:val="32"/>
              </w:rPr>
            </w:pPr>
            <w:r/>
            <w:r>
              <w:rPr>
                <w:rFonts w:ascii="Times New Roman" w:hAnsi="Times New Roman" w:eastAsia="宋体"/>
                <w:b w:val="0"/>
                <w:sz w:val="24"/>
              </w:rPr>
              <w:t>[待填写]</w:t>
            </w:r>
          </w:p>
        </w:tc>
      </w:tr>
      <w:tr w14:paraId="45A6E4B8">
        <w:tblPrEx>
          <w:tblCellMar>
            <w:top w:w="0" w:type="dxa"/>
            <w:left w:w="108" w:type="dxa"/>
            <w:bottom w:w="0" w:type="dxa"/>
            <w:right w:w="108" w:type="dxa"/>
          </w:tblCellMar>
        </w:tblPrEx>
        <w:trPr>
          <w:trHeight w:val="708" w:hRule="atLeast"/>
        </w:trPr>
        <w:tc>
          <w:tcPr>
            <w:tcW w:w="1734" w:type="dxa"/>
            <w:shd w:val="clear" w:color="auto" w:fill="auto"/>
            <w:vAlign w:val="bottom"/>
          </w:tcPr>
          <w:p w14:paraId="5BFFBA71">
            <w:pPr>
              <w:spacing w:after="0" w:line="360" w:lineRule="exact"/>
              <w:jc w:val="center"/>
              <w:rPr>
                <w:rFonts w:ascii="宋体" w:hAnsi="宋体"/>
                <w:b/>
                <w:sz w:val="32"/>
                <w:szCs w:val="32"/>
              </w:rPr>
            </w:pPr>
            <w:r>
              <w:rPr>
                <w:rFonts w:hint="eastAsia" w:ascii="宋体" w:hAnsi="宋体"/>
                <w:b/>
                <w:sz w:val="32"/>
                <w:szCs w:val="32"/>
              </w:rPr>
              <w:t xml:space="preserve">姓 </w:t>
            </w:r>
            <w:r>
              <w:rPr>
                <w:rFonts w:ascii="宋体" w:hAnsi="宋体"/>
                <w:b/>
                <w:sz w:val="32"/>
                <w:szCs w:val="32"/>
              </w:rPr>
              <w:t xml:space="preserve">   </w:t>
            </w:r>
            <w:r>
              <w:rPr>
                <w:rFonts w:hint="eastAsia" w:ascii="宋体" w:hAnsi="宋体"/>
                <w:b/>
                <w:sz w:val="32"/>
                <w:szCs w:val="32"/>
              </w:rPr>
              <w:t>名</w:t>
            </w:r>
          </w:p>
        </w:tc>
        <w:tc>
          <w:tcPr>
            <w:tcW w:w="6237" w:type="dxa"/>
            <w:gridSpan w:val="3"/>
            <w:tcBorders>
              <w:top w:val="single" w:color="auto" w:sz="4" w:space="0"/>
              <w:bottom w:val="single" w:color="auto" w:sz="4" w:space="0"/>
            </w:tcBorders>
            <w:shd w:val="clear" w:color="auto" w:fill="auto"/>
            <w:vAlign w:val="bottom"/>
          </w:tcPr>
          <w:p w14:paraId="1263DCB4">
            <w:pPr>
              <w:spacing w:after="0" w:line="360" w:lineRule="exact"/>
              <w:jc w:val="left"/>
              <w:rPr>
                <w:rFonts w:hint="eastAsia" w:ascii="宋体" w:hAnsi="宋体" w:eastAsia="宋体"/>
                <w:bCs/>
                <w:sz w:val="32"/>
                <w:szCs w:val="32"/>
                <w:lang w:val="en-US" w:eastAsia="zh-CN"/>
              </w:rPr>
            </w:pPr>
            <w:r/>
            <w:r>
              <w:rPr>
                <w:rFonts w:ascii="Times New Roman" w:hAnsi="Times New Roman" w:eastAsia="宋体"/>
                <w:b w:val="0"/>
                <w:sz w:val="24"/>
              </w:rPr>
              <w:t>[待填写]</w:t>
            </w:r>
          </w:p>
        </w:tc>
      </w:tr>
      <w:tr w14:paraId="0E0615F0">
        <w:tblPrEx>
          <w:tblCellMar>
            <w:top w:w="0" w:type="dxa"/>
            <w:left w:w="108" w:type="dxa"/>
            <w:bottom w:w="0" w:type="dxa"/>
            <w:right w:w="108" w:type="dxa"/>
          </w:tblCellMar>
        </w:tblPrEx>
        <w:trPr>
          <w:trHeight w:val="690" w:hRule="atLeast"/>
        </w:trPr>
        <w:tc>
          <w:tcPr>
            <w:tcW w:w="1734" w:type="dxa"/>
            <w:shd w:val="clear" w:color="auto" w:fill="auto"/>
            <w:vAlign w:val="bottom"/>
          </w:tcPr>
          <w:p w14:paraId="70E9E428">
            <w:pPr>
              <w:spacing w:after="0" w:line="360" w:lineRule="exact"/>
              <w:jc w:val="center"/>
              <w:rPr>
                <w:rFonts w:ascii="宋体" w:hAnsi="宋体"/>
                <w:b/>
                <w:sz w:val="32"/>
                <w:szCs w:val="32"/>
              </w:rPr>
            </w:pPr>
            <w:r>
              <w:rPr>
                <w:rFonts w:hint="eastAsia" w:ascii="宋体" w:hAnsi="宋体"/>
                <w:b/>
                <w:sz w:val="32"/>
                <w:szCs w:val="32"/>
              </w:rPr>
              <w:t xml:space="preserve">学 </w:t>
            </w:r>
            <w:r>
              <w:rPr>
                <w:rFonts w:ascii="宋体" w:hAnsi="宋体"/>
                <w:b/>
                <w:sz w:val="32"/>
                <w:szCs w:val="32"/>
              </w:rPr>
              <w:t xml:space="preserve">   </w:t>
            </w:r>
            <w:r>
              <w:rPr>
                <w:rFonts w:hint="eastAsia" w:ascii="宋体" w:hAnsi="宋体"/>
                <w:b/>
                <w:sz w:val="32"/>
                <w:szCs w:val="32"/>
              </w:rPr>
              <w:t>号</w:t>
            </w:r>
          </w:p>
        </w:tc>
        <w:tc>
          <w:tcPr>
            <w:tcW w:w="6237" w:type="dxa"/>
            <w:gridSpan w:val="3"/>
            <w:tcBorders>
              <w:top w:val="single" w:color="auto" w:sz="4" w:space="0"/>
              <w:bottom w:val="single" w:color="auto" w:sz="4" w:space="0"/>
            </w:tcBorders>
            <w:shd w:val="clear" w:color="auto" w:fill="auto"/>
            <w:vAlign w:val="bottom"/>
          </w:tcPr>
          <w:p w14:paraId="7E1236CE">
            <w:pPr>
              <w:spacing w:after="0" w:line="360" w:lineRule="exact"/>
              <w:jc w:val="left"/>
              <w:rPr>
                <w:rFonts w:hint="default" w:ascii="宋体" w:hAnsi="宋体" w:eastAsia="宋体"/>
                <w:bCs/>
                <w:sz w:val="32"/>
                <w:szCs w:val="32"/>
                <w:lang w:val="en-US" w:eastAsia="zh-CN"/>
              </w:rPr>
            </w:pPr>
            <w:r/>
            <w:r>
              <w:rPr>
                <w:rFonts w:ascii="Times New Roman" w:hAnsi="Times New Roman" w:eastAsia="宋体"/>
                <w:b w:val="0"/>
                <w:sz w:val="24"/>
              </w:rPr>
              <w:t>[待填写]</w:t>
            </w:r>
          </w:p>
        </w:tc>
      </w:tr>
      <w:tr w14:paraId="540DA89F">
        <w:tblPrEx>
          <w:tblCellMar>
            <w:top w:w="0" w:type="dxa"/>
            <w:left w:w="108" w:type="dxa"/>
            <w:bottom w:w="0" w:type="dxa"/>
            <w:right w:w="108" w:type="dxa"/>
          </w:tblCellMar>
        </w:tblPrEx>
        <w:trPr>
          <w:trHeight w:val="816" w:hRule="atLeast"/>
        </w:trPr>
        <w:tc>
          <w:tcPr>
            <w:tcW w:w="1734" w:type="dxa"/>
            <w:shd w:val="clear" w:color="auto" w:fill="auto"/>
            <w:vAlign w:val="bottom"/>
          </w:tcPr>
          <w:p w14:paraId="1E8B654D">
            <w:pPr>
              <w:spacing w:after="0" w:line="360" w:lineRule="exact"/>
              <w:jc w:val="center"/>
              <w:rPr>
                <w:rFonts w:ascii="宋体" w:hAnsi="宋体"/>
                <w:b/>
                <w:sz w:val="32"/>
                <w:szCs w:val="32"/>
              </w:rPr>
            </w:pPr>
            <w:r>
              <w:rPr>
                <w:rFonts w:hint="eastAsia" w:ascii="宋体" w:hAnsi="宋体"/>
                <w:b/>
                <w:sz w:val="32"/>
                <w:szCs w:val="32"/>
              </w:rPr>
              <w:t>指导教师</w:t>
            </w:r>
          </w:p>
        </w:tc>
        <w:tc>
          <w:tcPr>
            <w:tcW w:w="2536" w:type="dxa"/>
            <w:tcBorders>
              <w:top w:val="single" w:color="auto" w:sz="4" w:space="0"/>
              <w:bottom w:val="single" w:color="auto" w:sz="4" w:space="0"/>
            </w:tcBorders>
            <w:shd w:val="clear" w:color="auto" w:fill="auto"/>
            <w:vAlign w:val="bottom"/>
          </w:tcPr>
          <w:p w14:paraId="424C67CB">
            <w:pPr>
              <w:spacing w:after="0" w:line="360" w:lineRule="exact"/>
              <w:jc w:val="left"/>
              <w:rPr>
                <w:rFonts w:hint="eastAsia" w:ascii="宋体" w:hAnsi="宋体" w:eastAsia="宋体"/>
                <w:bCs/>
                <w:sz w:val="32"/>
                <w:szCs w:val="32"/>
                <w:lang w:eastAsia="zh-CN"/>
              </w:rPr>
            </w:pPr>
            <w:r/>
            <w:r>
              <w:rPr>
                <w:rFonts w:ascii="Times New Roman" w:hAnsi="Times New Roman" w:eastAsia="宋体"/>
                <w:b w:val="0"/>
                <w:sz w:val="24"/>
              </w:rPr>
              <w:t>[待填写]</w:t>
            </w:r>
          </w:p>
        </w:tc>
        <w:tc>
          <w:tcPr>
            <w:tcW w:w="866" w:type="dxa"/>
            <w:tcBorders>
              <w:top w:val="single" w:color="auto" w:sz="4" w:space="0"/>
            </w:tcBorders>
            <w:shd w:val="clear" w:color="auto" w:fill="auto"/>
            <w:vAlign w:val="bottom"/>
          </w:tcPr>
          <w:p w14:paraId="524AEB03">
            <w:pPr>
              <w:spacing w:after="0" w:line="360" w:lineRule="exact"/>
              <w:jc w:val="center"/>
              <w:rPr>
                <w:rFonts w:ascii="宋体" w:hAnsi="宋体"/>
                <w:b/>
                <w:sz w:val="32"/>
                <w:szCs w:val="32"/>
              </w:rPr>
            </w:pPr>
            <w:r>
              <w:rPr>
                <w:rFonts w:hint="eastAsia" w:ascii="宋体" w:hAnsi="宋体"/>
                <w:b/>
                <w:sz w:val="32"/>
                <w:szCs w:val="32"/>
              </w:rPr>
              <w:t>职称</w:t>
            </w:r>
          </w:p>
        </w:tc>
        <w:tc>
          <w:tcPr>
            <w:tcW w:w="2835" w:type="dxa"/>
            <w:tcBorders>
              <w:top w:val="single" w:color="auto" w:sz="4" w:space="0"/>
              <w:bottom w:val="single" w:color="auto" w:sz="4" w:space="0"/>
            </w:tcBorders>
            <w:shd w:val="clear" w:color="auto" w:fill="auto"/>
            <w:vAlign w:val="bottom"/>
          </w:tcPr>
          <w:p w14:paraId="53B3668F">
            <w:pPr>
              <w:spacing w:after="0" w:line="360" w:lineRule="exact"/>
              <w:jc w:val="left"/>
              <w:rPr>
                <w:rFonts w:ascii="宋体" w:hAnsi="宋体"/>
                <w:bCs/>
                <w:sz w:val="32"/>
                <w:szCs w:val="32"/>
              </w:rPr>
            </w:pPr>
            <w:r/>
            <w:r>
              <w:rPr>
                <w:rFonts w:ascii="Times New Roman" w:hAnsi="Times New Roman" w:eastAsia="宋体"/>
                <w:b w:val="0"/>
                <w:sz w:val="24"/>
              </w:rPr>
              <w:t>[待填写]</w:t>
            </w:r>
          </w:p>
        </w:tc>
      </w:tr>
    </w:tbl>
    <w:p w14:paraId="5A7EEC85">
      <w:pPr>
        <w:spacing w:after="0" w:line="720" w:lineRule="exact"/>
        <w:ind w:right="210" w:rightChars="100"/>
        <w:jc w:val="left"/>
        <w:rPr>
          <w:rFonts w:ascii="黑体" w:hAnsi="等线" w:eastAsia="黑体"/>
          <w:b/>
          <w:sz w:val="44"/>
          <w:szCs w:val="22"/>
        </w:rPr>
      </w:pPr>
    </w:p>
    <w:tbl>
      <w:tblPr>
        <w:tblStyle w:val="7"/>
        <w:tblW w:w="9070" w:type="dxa"/>
        <w:tblInd w:w="284"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701"/>
        <w:gridCol w:w="7369"/>
      </w:tblGrid>
      <w:tr w14:paraId="68584A8F">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PrEx>
        <w:tc>
          <w:tcPr>
            <w:tcW w:w="1701" w:type="dxa"/>
            <w:shd w:val="clear" w:color="auto" w:fill="auto"/>
          </w:tcPr>
          <w:p w14:paraId="1D950E4F">
            <w:pPr>
              <w:tabs>
                <w:tab w:val="left" w:pos="2509"/>
                <w:tab w:val="left" w:pos="3550"/>
                <w:tab w:val="left" w:pos="4962"/>
                <w:tab w:val="left" w:pos="6379"/>
                <w:tab w:val="left" w:pos="7420"/>
                <w:tab w:val="left" w:pos="9672"/>
              </w:tabs>
              <w:jc w:val="left"/>
              <w:rPr>
                <w:rFonts w:ascii="黑体" w:hAnsi="黑体" w:eastAsia="黑体"/>
                <w:bCs/>
                <w:color w:val="000000"/>
                <w:spacing w:val="-20"/>
                <w:sz w:val="28"/>
                <w:szCs w:val="28"/>
              </w:rPr>
            </w:pPr>
            <w:r>
              <w:rPr>
                <w:rFonts w:hint="eastAsia"/>
                <w:bCs/>
                <w:color w:val="000000"/>
                <w:sz w:val="28"/>
                <w:szCs w:val="28"/>
              </w:rPr>
              <w:t>选题类别：</w:t>
            </w:r>
          </w:p>
        </w:tc>
        <w:tc>
          <w:tcPr>
            <w:tcW w:w="7369" w:type="dxa"/>
            <w:shd w:val="clear" w:color="auto" w:fill="auto"/>
          </w:tcPr>
          <w:p w14:paraId="1B827EF8">
            <w:pPr>
              <w:tabs>
                <w:tab w:val="left" w:pos="2127"/>
                <w:tab w:val="left" w:pos="2509"/>
                <w:tab w:val="left" w:pos="3550"/>
                <w:tab w:val="left" w:pos="4962"/>
                <w:tab w:val="left" w:pos="6379"/>
                <w:tab w:val="left" w:pos="7420"/>
                <w:tab w:val="left" w:pos="9672"/>
              </w:tabs>
              <w:jc w:val="left"/>
              <w:rPr>
                <w:rFonts w:ascii="宋体" w:hAnsi="宋体"/>
                <w:bCs/>
                <w:sz w:val="24"/>
              </w:rPr>
            </w:pPr>
            <w:r/>
            <w:r>
              <w:rPr>
                <w:rFonts w:ascii="Times New Roman" w:hAnsi="Times New Roman" w:eastAsia="宋体"/>
                <w:b w:val="0"/>
                <w:sz w:val="24"/>
              </w:rPr>
              <w:t>毕业论文 毕业设计（√） 社会调查报告 作品展示 毕业汇报演出 专业外文翻译 （在选定的类型上打√）</w:t>
            </w:r>
          </w:p>
        </w:tc>
      </w:tr>
    </w:tbl>
    <w:p w14:paraId="1127C204">
      <w:pPr>
        <w:tabs>
          <w:tab w:val="left" w:pos="3145"/>
          <w:tab w:val="left" w:pos="3828"/>
          <w:tab w:val="left" w:pos="5702"/>
          <w:tab w:val="left" w:pos="6980"/>
          <w:tab w:val="left" w:pos="8258"/>
          <w:tab w:val="left" w:pos="9672"/>
        </w:tabs>
        <w:ind w:firstLine="2135" w:firstLineChars="886"/>
        <w:jc w:val="left"/>
        <w:rPr>
          <w:rFonts w:ascii="宋体" w:hAnsi="宋体"/>
          <w:b/>
          <w:sz w:val="24"/>
        </w:rPr>
      </w:pPr>
    </w:p>
    <w:p w14:paraId="5AADC867">
      <w:pPr>
        <w:tabs>
          <w:tab w:val="left" w:pos="3986"/>
          <w:tab w:val="center" w:pos="4535"/>
        </w:tabs>
        <w:spacing w:before="312" w:beforeLines="100" w:after="0"/>
        <w:jc w:val="left"/>
        <w:rPr>
          <w:rFonts w:ascii="宋体" w:hAnsi="宋体"/>
          <w:b/>
          <w:sz w:val="24"/>
        </w:rPr>
        <w:sectPr>
          <w:headerReference r:id="rId4" w:type="first"/>
          <w:headerReference r:id="rId3" w:type="even"/>
          <w:pgSz w:w="11906" w:h="16838"/>
          <w:pgMar w:top="1440" w:right="1418" w:bottom="1246" w:left="1418" w:header="851" w:footer="992" w:gutter="0"/>
          <w:pgNumType w:fmt="decimal" w:start="1" w:chapSep="hyphen"/>
          <w:cols w:space="720" w:num="1"/>
          <w:docGrid w:type="lines" w:linePitch="312" w:charSpace="0"/>
        </w:sectPr>
      </w:pPr>
    </w:p>
    <w:p w14:paraId="177A6AE3">
      <w:pPr>
        <w:tabs>
          <w:tab w:val="left" w:pos="3986"/>
          <w:tab w:val="center" w:pos="4535"/>
        </w:tabs>
        <w:spacing w:before="312" w:beforeLines="100" w:after="0"/>
        <w:jc w:val="left"/>
        <w:rPr>
          <w:rFonts w:ascii="宋体" w:hAnsi="宋体"/>
          <w:b/>
          <w:sz w:val="24"/>
        </w:rPr>
      </w:pPr>
    </w:p>
    <w:p w14:paraId="39E6F896">
      <w:pPr>
        <w:rPr>
          <w:rFonts w:ascii="宋体" w:hAnsi="宋体"/>
          <w:sz w:val="24"/>
        </w:rPr>
      </w:pPr>
    </w:p>
    <w:p w14:paraId="42B4572E">
      <w:pPr>
        <w:rPr>
          <w:rFonts w:ascii="宋体" w:hAnsi="宋体"/>
          <w:b/>
          <w:sz w:val="28"/>
          <w:szCs w:val="28"/>
        </w:rPr>
      </w:pPr>
      <w:r>
        <w:rPr>
          <w:rFonts w:hint="eastAsia" w:ascii="宋体" w:hAnsi="宋体"/>
          <w:b/>
          <w:sz w:val="28"/>
          <w:szCs w:val="28"/>
        </w:rPr>
        <w:t>注：1.本任务书一式两份，一份学院存档，一份发给学生。</w:t>
      </w:r>
    </w:p>
    <w:p w14:paraId="0DB62200">
      <w:pPr>
        <w:ind w:firstLine="562" w:firstLineChars="200"/>
        <w:rPr>
          <w:rFonts w:ascii="宋体" w:hAnsi="宋体"/>
          <w:b/>
          <w:sz w:val="28"/>
          <w:szCs w:val="28"/>
        </w:rPr>
      </w:pPr>
      <w:r>
        <w:rPr>
          <w:rFonts w:hint="eastAsia" w:ascii="宋体" w:hAnsi="宋体"/>
          <w:b/>
          <w:sz w:val="28"/>
          <w:szCs w:val="28"/>
        </w:rPr>
        <w:t>2.任务书均要求打印，表格中书写字体和字号按照以下格式要求执行：</w:t>
      </w:r>
    </w:p>
    <w:p w14:paraId="4479A9DF">
      <w:pPr>
        <w:ind w:firstLine="562" w:firstLineChars="200"/>
        <w:rPr>
          <w:rFonts w:ascii="宋体" w:hAnsi="宋体"/>
          <w:b/>
          <w:sz w:val="28"/>
          <w:szCs w:val="28"/>
        </w:rPr>
      </w:pPr>
      <w:r>
        <w:rPr>
          <w:rFonts w:hint="eastAsia" w:ascii="宋体" w:hAnsi="宋体"/>
          <w:b/>
          <w:sz w:val="28"/>
          <w:szCs w:val="28"/>
        </w:rPr>
        <w:t>段前间距0.5行，首行缩进2字符，小四号宋体，行距20磅。</w:t>
      </w:r>
    </w:p>
    <w:p w14:paraId="0B7496CE">
      <w:pPr>
        <w:tabs>
          <w:tab w:val="left" w:pos="2943"/>
        </w:tabs>
        <w:rPr>
          <w:rFonts w:ascii="宋体" w:hAnsi="宋体"/>
          <w:b/>
          <w:sz w:val="24"/>
        </w:rPr>
      </w:pPr>
      <w:r>
        <w:rPr>
          <w:rFonts w:ascii="宋体" w:hAnsi="宋体"/>
          <w:b/>
          <w:sz w:val="24"/>
        </w:rPr>
        <w:tab/>
      </w:r>
    </w:p>
    <w:p w14:paraId="663625B5">
      <w:pPr>
        <w:tabs>
          <w:tab w:val="left" w:pos="2943"/>
        </w:tabs>
        <w:rPr>
          <w:rFonts w:hint="eastAsia" w:ascii="宋体" w:hAnsi="宋体"/>
          <w:sz w:val="24"/>
        </w:rPr>
      </w:pPr>
      <w:r>
        <w:rPr>
          <w:rFonts w:ascii="宋体" w:hAnsi="宋体"/>
          <w:sz w:val="24"/>
        </w:rPr>
        <w:tab/>
      </w:r>
      <w:r>
        <w:rPr>
          <w:rFonts w:hint="eastAsia" w:ascii="宋体" w:hAnsi="宋体"/>
          <w:sz w:val="24"/>
        </w:rPr>
        <w:t xml:space="preserve"> </w:t>
      </w:r>
    </w:p>
    <w:p w14:paraId="3D108DD3">
      <w:pPr>
        <w:bidi w:val="0"/>
        <w:rPr>
          <w:rFonts w:ascii="Times New Roman" w:hAnsi="Times New Roman" w:eastAsia="宋体" w:cs="Times New Roman"/>
          <w:kern w:val="2"/>
          <w:sz w:val="21"/>
          <w:szCs w:val="24"/>
          <w:lang w:val="en-US" w:eastAsia="zh-CN" w:bidi="ar-SA"/>
        </w:rPr>
      </w:pPr>
    </w:p>
    <w:p w14:paraId="7E0324CC">
      <w:pPr>
        <w:bidi w:val="0"/>
        <w:rPr>
          <w:lang w:val="en-US" w:eastAsia="zh-CN"/>
        </w:rPr>
      </w:pPr>
    </w:p>
    <w:p w14:paraId="612B172B">
      <w:pPr>
        <w:bidi w:val="0"/>
        <w:rPr>
          <w:lang w:val="en-US" w:eastAsia="zh-CN"/>
        </w:rPr>
      </w:pPr>
    </w:p>
    <w:p w14:paraId="34EF8D1C">
      <w:pPr>
        <w:bidi w:val="0"/>
        <w:rPr>
          <w:lang w:val="en-US" w:eastAsia="zh-CN"/>
        </w:rPr>
      </w:pPr>
    </w:p>
    <w:p w14:paraId="0260EC8F">
      <w:pPr>
        <w:bidi w:val="0"/>
        <w:rPr>
          <w:lang w:val="en-US" w:eastAsia="zh-CN"/>
        </w:rPr>
      </w:pPr>
    </w:p>
    <w:p w14:paraId="2017B8BB">
      <w:pPr>
        <w:bidi w:val="0"/>
        <w:rPr>
          <w:lang w:val="en-US" w:eastAsia="zh-CN"/>
        </w:rPr>
      </w:pPr>
    </w:p>
    <w:p w14:paraId="556CBAB0">
      <w:pPr>
        <w:tabs>
          <w:tab w:val="left" w:pos="7020"/>
        </w:tabs>
        <w:bidi w:val="0"/>
        <w:jc w:val="left"/>
        <w:rPr>
          <w:lang w:val="en-US" w:eastAsia="zh-CN"/>
        </w:rPr>
        <w:sectPr>
          <w:headerReference r:id="rId7" w:type="first"/>
          <w:headerReference r:id="rId5" w:type="default"/>
          <w:headerReference r:id="rId6" w:type="even"/>
          <w:pgSz w:w="11906" w:h="16838"/>
          <w:pgMar w:top="1440" w:right="1418" w:bottom="1246" w:left="1418" w:header="851" w:footer="992" w:gutter="0"/>
          <w:pgNumType w:fmt="decimal" w:start="1" w:chapSep="hyphen"/>
          <w:cols w:space="720" w:num="1"/>
          <w:docGrid w:type="lines" w:linePitch="312" w:charSpace="0"/>
        </w:sectPr>
      </w:pPr>
      <w:r>
        <w:rPr>
          <w:rFonts w:hint="eastAsia"/>
          <w:lang w:val="en-US" w:eastAsia="zh-CN"/>
        </w:rPr>
        <w:tab/>
      </w:r>
    </w:p>
    <w:tbl>
      <w:tblPr>
        <w:tblStyle w:val="7"/>
        <w:tblW w:w="90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3"/>
        <w:gridCol w:w="718"/>
        <w:gridCol w:w="1994"/>
        <w:gridCol w:w="1663"/>
        <w:gridCol w:w="3522"/>
      </w:tblGrid>
      <w:tr w14:paraId="24298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center"/>
        </w:trPr>
        <w:tc>
          <w:tcPr>
            <w:tcW w:w="9070" w:type="dxa"/>
            <w:vAlign w:val="center"/>
          </w:tcPr>
          <w:p w14:paraId="287D4054">
            <w:pPr>
              <w:rPr>
                <w:rFonts w:ascii="宋体" w:hAnsi="宋体"/>
                <w:b/>
                <w:sz w:val="24"/>
              </w:rPr>
            </w:pPr>
            <w:r>
              <w:rPr>
                <w:rFonts w:hint="eastAsia" w:ascii="宋体" w:hAnsi="宋体"/>
                <w:b/>
                <w:sz w:val="24"/>
              </w:rPr>
              <w:t xml:space="preserve">题 </w:t>
            </w:r>
            <w:r>
              <w:rPr>
                <w:rFonts w:ascii="宋体" w:hAnsi="宋体"/>
                <w:b/>
                <w:sz w:val="24"/>
              </w:rPr>
              <w:t xml:space="preserve"> </w:t>
            </w:r>
            <w:r>
              <w:rPr>
                <w:rFonts w:hint="eastAsia" w:ascii="宋体" w:hAnsi="宋体"/>
                <w:b/>
                <w:sz w:val="24"/>
              </w:rPr>
              <w:t>目</w:t>
            </w:r>
          </w:p>
        </w:tc>
        <w:tc>
          <w:tcPr>
            <w:tcW w:w="7897" w:type="dxa"/>
            <w:gridSpan w:val="4"/>
            <w:vAlign w:val="center"/>
          </w:tcPr>
          <w:p w14:paraId="06003D28">
            <w:pPr>
              <w:jc w:val="left"/>
              <w:rPr>
                <w:rFonts w:ascii="宋体" w:hAnsi="宋体"/>
                <w:bCs/>
                <w:sz w:val="24"/>
              </w:rPr>
            </w:pPr>
            <w:r/>
            <w:r>
              <w:rPr>
                <w:rFonts w:ascii="Times New Roman" w:hAnsi="Times New Roman" w:eastAsia="宋体"/>
                <w:b w:val="0"/>
                <w:sz w:val="24"/>
              </w:rPr>
              <w:t>基于LightGBM与特征归因的股票推荐系统</w:t>
            </w:r>
          </w:p>
        </w:tc>
      </w:tr>
      <w:tr w14:paraId="11451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jc w:val="center"/>
        </w:trPr>
        <w:tc>
          <w:tcPr>
            <w:tcW w:w="9070" w:type="dxa"/>
            <w:vAlign w:val="center"/>
          </w:tcPr>
          <w:p w14:paraId="772B4B5B">
            <w:pPr>
              <w:rPr>
                <w:rFonts w:ascii="宋体" w:hAnsi="宋体"/>
                <w:b/>
                <w:sz w:val="24"/>
              </w:rPr>
            </w:pPr>
            <w:r>
              <w:rPr>
                <w:rFonts w:hint="eastAsia" w:ascii="宋体" w:hAnsi="宋体"/>
                <w:b/>
                <w:sz w:val="24"/>
              </w:rPr>
              <w:t>题目来源</w:t>
            </w:r>
          </w:p>
        </w:tc>
        <w:tc>
          <w:tcPr>
            <w:tcW w:w="7897" w:type="dxa"/>
            <w:gridSpan w:val="4"/>
            <w:vAlign w:val="center"/>
          </w:tcPr>
          <w:p w14:paraId="276EF3D4">
            <w:pPr>
              <w:jc w:val="left"/>
              <w:rPr>
                <w:rFonts w:ascii="宋体" w:hAnsi="宋体"/>
                <w:b/>
                <w:sz w:val="24"/>
                <w:u w:val="single"/>
              </w:rPr>
            </w:pPr>
            <w:r/>
            <w:r>
              <w:rPr>
                <w:rFonts w:ascii="Times New Roman" w:hAnsi="Times New Roman" w:eastAsia="宋体"/>
                <w:b w:val="0"/>
                <w:sz w:val="24"/>
              </w:rPr>
              <w:t>科研课题 生产实际或经济建设（√） 其他 （在选定的类型上打√）</w:t>
            </w:r>
          </w:p>
        </w:tc>
      </w:tr>
      <w:tr w14:paraId="35700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9070" w:type="dxa"/>
            <w:gridSpan w:val="5"/>
            <w:vAlign w:val="center"/>
          </w:tcPr>
          <w:p w14:paraId="4DD33101">
            <w:pPr>
              <w:rPr>
                <w:rFonts w:ascii="宋体" w:hAnsi="宋体"/>
                <w:b/>
                <w:sz w:val="24"/>
              </w:rPr>
            </w:pPr>
            <w:r>
              <w:rPr>
                <w:rFonts w:hint="eastAsia" w:ascii="宋体" w:hAnsi="宋体"/>
                <w:b/>
                <w:sz w:val="24"/>
              </w:rPr>
              <w:t>1</w:t>
            </w:r>
            <w:r>
              <w:rPr>
                <w:rFonts w:ascii="宋体" w:hAnsi="宋体"/>
                <w:b/>
                <w:sz w:val="24"/>
              </w:rPr>
              <w:t>.</w:t>
            </w:r>
            <w:r>
              <w:rPr>
                <w:rFonts w:hint="eastAsia" w:ascii="宋体" w:hAnsi="宋体"/>
                <w:b/>
                <w:sz w:val="24"/>
              </w:rPr>
              <w:t>毕业论文（设计）的要求和内容</w:t>
            </w:r>
          </w:p>
        </w:tc>
      </w:tr>
      <w:tr w14:paraId="28399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jc w:val="center"/>
        </w:trPr>
        <w:tc>
          <w:tcPr>
            <w:tcW w:w="9070" w:type="dxa"/>
            <w:gridSpan w:val="5"/>
          </w:tcPr>
          <w:p>
            <w:pPr>
              <w:keepNext w:val="0"/>
              <w:keepLines w:val="0"/>
              <w:pageBreakBefore w:val="0"/>
              <w:widowControl w:val="0"/>
              <w:kinsoku/>
              <w:wordWrap/>
              <w:overflowPunct/>
              <w:topLinePunct w:val="0"/>
              <w:autoSpaceDE/>
              <w:autoSpaceDN/>
              <w:bidi w:val="0"/>
              <w:adjustRightInd/>
              <w:snapToGrid/>
              <w:spacing w:before="156" w:beforeLines="50" w:after="0" w:line="400" w:lineRule="exact"/>
              <w:ind w:firstLine="480" w:firstLineChars="200"/>
              <w:textAlignment w:val="auto"/>
              <w:rPr>
                <w:rFonts w:hint="default" w:ascii="宋体" w:hAnsi="宋体"/>
                <w:bCs/>
                <w:sz w:val="24"/>
                <w:highlight w:val="none"/>
              </w:rPr>
            </w:pPr>
            <w:r>
              <w:rPr>
                <w:rFonts w:ascii="Times New Roman" w:hAnsi="Times New Roman" w:eastAsia="宋体"/>
                <w:b w:val="0"/>
                <w:sz w:val="24"/>
              </w:rPr>
              <w:t>股票市场受宏观经济波动、产业政策调整、多方投资者博弈及非理性情绪等多重因素影响，呈现出强烈的非线性、高噪声与低信噪比特征。传统的量化多因子选股方法多依托线性多元回归或静态打分机制，难以自适应捕捉因子间的高阶非线性交互与市场状态跃迁；而深度神经网络等复杂黑箱模型虽具备较强的特征拟合能力，但极易在金融时序数据上发生过拟合，更缺乏模型决策的透明度与可解释性，难以满足投资决策审慎风控与金融合规监管的要求。此外，诸多学术与工程实践常因未来数据泄露（前视偏差）、忽视幸存者偏差或缺乏跨周期稳定性检验，导致样本外预测与回测效果严重失真。因此，如何构建一套兼具严密防前视设计、有效截面排序能力、透明特征归因与严谨业绩分解的股票推荐系统，是现代智能金融工程领域亟待解决的核心课题。</w:t>
            </w:r>
          </w:p>
          <w:p>
            <w:pPr>
              <w:keepNext w:val="0"/>
              <w:keepLines w:val="0"/>
              <w:pageBreakBefore w:val="0"/>
              <w:widowControl w:val="0"/>
              <w:kinsoku/>
              <w:wordWrap/>
              <w:overflowPunct/>
              <w:topLinePunct w:val="0"/>
              <w:autoSpaceDE/>
              <w:autoSpaceDN/>
              <w:bidi w:val="0"/>
              <w:adjustRightInd/>
              <w:snapToGrid/>
              <w:spacing w:before="156" w:beforeLines="50" w:after="0" w:line="400" w:lineRule="exact"/>
              <w:ind w:firstLine="480" w:firstLineChars="200"/>
              <w:textAlignment w:val="auto"/>
              <w:rPr>
                <w:rFonts w:hint="default" w:ascii="宋体" w:hAnsi="宋体"/>
                <w:bCs/>
                <w:sz w:val="24"/>
                <w:highlight w:val="none"/>
              </w:rPr>
            </w:pPr>
            <w:r>
              <w:rPr>
                <w:rFonts w:ascii="Times New Roman" w:hAnsi="Times New Roman" w:eastAsia="宋体"/>
                <w:b w:val="0"/>
                <w:sz w:val="24"/>
              </w:rPr>
              <w:t>针对上述痛点，本毕业设计以A股沪深300指数成分股为候选标的池，设计并实现一套“特征工程及行业中性化 → 训练期因子诊断 → LightGBM横截面排序推荐 → 贴合实盘回测与Alpha/Beta业绩归因 → TreeSHAP全局与个股特征归因 → FastAPI与Vue3全栈可视化交互”的全链路股票推荐系统原型。系统的核心任务是实现候选股票的横截面相对排序与Top-K推荐，而非预测股票的绝对上涨走势；模型输出二分类打分表示个股未来5个交易日收益跑赢当日截面均值的估计倾向，为量化投研人员与投资者提供兼具量化排序支撑与归因解释依据的决策参考。</w:t>
            </w:r>
          </w:p>
          <w:p>
            <w:pPr>
              <w:keepNext w:val="0"/>
              <w:keepLines w:val="0"/>
              <w:pageBreakBefore w:val="0"/>
              <w:widowControl w:val="0"/>
              <w:kinsoku/>
              <w:wordWrap/>
              <w:overflowPunct/>
              <w:topLinePunct w:val="0"/>
              <w:autoSpaceDE/>
              <w:autoSpaceDN/>
              <w:bidi w:val="0"/>
              <w:adjustRightInd/>
              <w:snapToGrid/>
              <w:spacing w:before="156" w:beforeLines="50" w:after="0" w:line="400" w:lineRule="exact"/>
              <w:ind w:firstLine="480" w:firstLineChars="200"/>
              <w:textAlignment w:val="auto"/>
              <w:rPr>
                <w:rFonts w:hint="default" w:ascii="宋体" w:hAnsi="宋体"/>
                <w:bCs/>
                <w:sz w:val="24"/>
                <w:highlight w:val="none"/>
              </w:rPr>
            </w:pPr>
            <w:r>
              <w:rPr>
                <w:rFonts w:ascii="Times New Roman" w:hAnsi="Times New Roman" w:eastAsia="宋体"/>
                <w:b w:val="0"/>
                <w:sz w:val="24"/>
              </w:rPr>
              <w:t>系统重点围绕以下五个核心模块展开设计与实证研究：（1）数据工程与防泄漏设计：采集沪深300成分股自2015年1月至2026年10月的日频量价与财务估值数据（共744,372条面板样本），特征清洗严格采用向前填充（ffill）并以个股自身历史中位数填补缺失值；财务报表数据严格按照法定披露截止日进行保守滞后对齐（一季报滞后至4月30日，年报滞后至次年4月30日）；标签定义为未来5个交易日个股收益（t+1开盘买入至t+5收盘）是否跑赢当日截面均值；按时间先后切分训练集、验证集与测试集，并在集合边界设置5个交易日的标签成熟期隔离（purging），彻底阻断前视偏差。（2）截面中性化与因子有效性检验：对技术指标、量价衍生指标与基本面因子在每个交易日截面上进行缩尾、行业去均值（行业缺失时退回全市场去均值）与Z-score标准化；在训练集内部通过截面Spearman秩相关（IC）、Newey-West HAC t统计量（ICIR×√截面数）及相关性分析（去冗余阈值|r|&gt;0.7）进行因子诊断与筛选，选定ATR_ratio、MACD_norm、momentum_60d、OBV_zscore等有效因子；同时如实记录并分析基本面因子在大样本中性化后未能提供增量的实证现象。（3）LightGBM排序模型构建与时序验证：基于Optuna在训练集内部通过时序交叉验证（TimeSeriesSplit）开展超参数贝叶斯寻优；在测试集上评估AUC、NDCG@K与Precision@K，并与随机猜测、逻辑回归及随机森林基线进行对比；开展13轮步长为120交易日的推进分析（Walk-Forward滚动窗口验证），检验模型在不同市场周期下的稳定度。（4）Top-K组合回测与Alpha/Beta业绩归因：构建Top-K（K=10）等权持仓策略，每5个交易日调仓，按下一交易日开盘买入至第5交易日收盘卖出收益核算，扣除印花税、佣金及过户费，对比全市场排序与行业中性两种选股口径；将13个滚动窗口的预测信号按时间拼接为连续净值序列，对基准收益进行OLS线性回归归因，测算Jensen Alpha与Beta暴露，并分五等分市场状态检验超额收益来源。（5）TreeSHAP特征归因与原型系统开发：基于TreeSHAP算法在LightGBM原始log-odds空间进行全局特征重要性（Mean |SHAP|）与个股局部归因分解，严格进行加和一致性容差校验；基于FastAPI构建后端高性能REST API接口，基于Vue 3 + Vite + ECharts开发涵盖行情看板、数据工程、因子诊断、模型评测、滚动回测、业绩归因、全局解释与个股SHAP归因弹窗的前端交互界面，实现系统原型的完整交付。</w:t>
            </w:r>
          </w:p>
          <w:p>
            <w:pPr>
              <w:keepNext w:val="0"/>
              <w:keepLines w:val="0"/>
              <w:pageBreakBefore w:val="0"/>
              <w:widowControl w:val="0"/>
              <w:kinsoku/>
              <w:wordWrap/>
              <w:overflowPunct/>
              <w:topLinePunct w:val="0"/>
              <w:autoSpaceDE/>
              <w:autoSpaceDN/>
              <w:bidi w:val="0"/>
              <w:adjustRightInd/>
              <w:snapToGrid/>
              <w:spacing w:before="156" w:beforeLines="50" w:after="0" w:line="400" w:lineRule="exact"/>
              <w:ind w:firstLine="480" w:firstLineChars="200"/>
              <w:textAlignment w:val="auto"/>
              <w:rPr>
                <w:rFonts w:hint="default" w:ascii="宋体" w:hAnsi="宋体"/>
                <w:bCs/>
                <w:sz w:val="24"/>
                <w:highlight w:val="none"/>
              </w:rPr>
            </w:pPr>
            <w:r>
              <w:rPr>
                <w:rFonts w:ascii="Times New Roman" w:hAnsi="Times New Roman" w:eastAsia="宋体"/>
                <w:b w:val="0"/>
                <w:sz w:val="24"/>
              </w:rPr>
              <w:t>本研究秉持实事求是的科学态度，在设计与论文撰写中严格恪守以下规范与局限说明：一是如实报告实验结果，模型滚动AUC均值约为0.5095（38.5%的窗口低于0.5随机基线），LightGBM在排序指标上与随机森林处于统计不可区分的水平，论文不虚夸模型表现；二是深刻揭示业绩归因本质，策略Beta为1.1424（显著大于1），收益中约74%由市场Beta驱动，Jensen Alpha年化2.99%在统计上不显著（p=0.1904），分市场状态下超额随行情严格单调，确认超额源于高Beta风险敞口而非纯选股能力，结论符合A股半强式有效特征；三是明确数据与回测局限，历史成分股若缺乏动态调整生效期文件则存在幸存者偏差，回测成交未考虑滑点、冲击成本、涨跌停及停牌限制；四是严谨界定特征归因边界，SHAP值仅反映模型内部对特征的利用权重与边际贡献，不构成经济学因果解释或未来投资收益保证。</w:t>
            </w:r>
          </w:p>
        </w:tc>
      </w:tr>
      <w:tr w14:paraId="4F56F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9070" w:type="dxa"/>
            <w:gridSpan w:val="5"/>
            <w:vAlign w:val="center"/>
          </w:tcPr>
          <w:p w14:paraId="329B7134">
            <w:pPr>
              <w:rPr>
                <w:rFonts w:ascii="宋体" w:hAnsi="宋体" w:cs="宋体"/>
                <w:sz w:val="24"/>
              </w:rPr>
            </w:pPr>
            <w:r>
              <w:rPr>
                <w:rFonts w:hint="eastAsia" w:ascii="宋体" w:hAnsi="宋体"/>
                <w:b/>
                <w:sz w:val="24"/>
              </w:rPr>
              <w:t>2</w:t>
            </w:r>
            <w:r>
              <w:rPr>
                <w:rFonts w:ascii="宋体" w:hAnsi="宋体"/>
                <w:b/>
                <w:sz w:val="24"/>
              </w:rPr>
              <w:t>.</w:t>
            </w:r>
            <w:r>
              <w:rPr>
                <w:rFonts w:hint="eastAsia" w:ascii="宋体" w:hAnsi="宋体"/>
                <w:b/>
                <w:sz w:val="24"/>
              </w:rPr>
              <w:t>研究方案、目标</w:t>
            </w:r>
          </w:p>
        </w:tc>
      </w:tr>
      <w:tr w14:paraId="709C4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9070" w:type="dxa"/>
            <w:gridSpan w:val="5"/>
          </w:tcPr>
          <w:p>
            <w:pPr>
              <w:keepNext w:val="0"/>
              <w:keepLines w:val="0"/>
              <w:pageBreakBefore w:val="0"/>
              <w:widowControl w:val="0"/>
              <w:kinsoku/>
              <w:wordWrap/>
              <w:overflowPunct/>
              <w:topLinePunct w:val="0"/>
              <w:autoSpaceDE/>
              <w:autoSpaceDN/>
              <w:bidi w:val="0"/>
              <w:adjustRightInd/>
              <w:snapToGrid/>
              <w:spacing w:before="156" w:beforeLines="50" w:after="0" w:line="400" w:lineRule="exact"/>
              <w:ind w:firstLine="480" w:firstLineChars="200"/>
              <w:textAlignment w:val="auto"/>
              <w:rPr>
                <w:rFonts w:hint="default" w:ascii="宋体" w:hAnsi="宋体"/>
                <w:bCs/>
                <w:sz w:val="24"/>
                <w:highlight w:val="none"/>
              </w:rPr>
            </w:pPr>
            <w:r>
              <w:rPr>
                <w:rFonts w:ascii="Times New Roman" w:hAnsi="Times New Roman" w:eastAsia="宋体"/>
                <w:b w:val="0"/>
                <w:sz w:val="24"/>
              </w:rPr>
              <w:t>本项目遵循“理论探究与实证研究相融合、算法建模与系统工程相结合”的研究方案，总体技术路线划分为六个阶段：第一阶段（需求分析与方案设计）：调研量化选股与可解释人工智能（XAI）前沿文献，明确沪深300股票池截面推荐的业务定位与功能边界，制定全链路技术方案与数据防泄漏规范。第二阶段（数据工程与因子中性化）：构建面板数据预处理管道，完成缺失值向前填充、财报法定披露截止日保守滞后对齐、标签定义及5日时序隔离；实现逐日横截面缩尾、行业去均值中性化与标准化。第三阶段（训练期因子诊断与特征筛选）：在训练期计算候选因子的截面Spearman IC与Newey-West HAC t值，执行阈值过滤与相关性去冗余，深入剖析技术因子与基本面因子在截面上的表现差异。第四阶段（LightGBM建模与滚动时序验证）：运用Optuna结合时序交叉验证完成超参数调优，在测试集上开展多模型对比；设计并执行13轮Walk-Forward滚动窗口推进实验，统计跨期AUC分布与因子符号翻转情况。第五阶段（实盘级回测与业绩归因实证）：设计考虑交易摩擦成本的Top-K等权调仓回测机制，对比全市场排序与行业中性选股表现；对滚动拼接净值开展市场基准回归，解耦Jensen Alpha与Beta风险暴露，并按市场状态五等分检验收益单调性。第六阶段（TreeSHAP特征归因与系统原型交付）：在log-odds空间实现TreeSHAP全局与个股局部解释，严格执行加和一致性校验；采用FastAPI与Vue 3构建RESTful微服务与组件化前端，完成系统集成、联调与毕业论文撰写。</w:t>
            </w:r>
          </w:p>
          <w:p>
            <w:pPr>
              <w:keepNext w:val="0"/>
              <w:keepLines w:val="0"/>
              <w:pageBreakBefore w:val="0"/>
              <w:widowControl w:val="0"/>
              <w:kinsoku/>
              <w:wordWrap/>
              <w:overflowPunct/>
              <w:topLinePunct w:val="0"/>
              <w:autoSpaceDE/>
              <w:autoSpaceDN/>
              <w:bidi w:val="0"/>
              <w:adjustRightInd/>
              <w:snapToGrid/>
              <w:spacing w:before="156" w:beforeLines="50" w:after="0" w:line="400" w:lineRule="exact"/>
              <w:ind w:firstLine="480" w:firstLineChars="200"/>
              <w:textAlignment w:val="auto"/>
              <w:rPr>
                <w:rFonts w:hint="default" w:ascii="宋体" w:hAnsi="宋体"/>
                <w:bCs/>
                <w:sz w:val="24"/>
                <w:highlight w:val="none"/>
              </w:rPr>
            </w:pPr>
            <w:r>
              <w:rPr>
                <w:rFonts w:ascii="Times New Roman" w:hAnsi="Times New Roman" w:eastAsia="宋体"/>
                <w:b w:val="0"/>
                <w:sz w:val="24"/>
              </w:rPr>
              <w:t>本研究预期达成以下四项核心目标：（1）理论与方法目标：建立一套规范严密、杜绝前视偏差的A股量化排序建模范式，通过因子诊断、时序切分、滚动验证与Alpha/Beta业绩解耦，揭示机器学习在A股弱信号环境下的真实预测边界与市场有效性特征。（2）算法与模型目标：构建收敛稳定、支持时序交叉验证的LightGBM股票推荐模型，客观对比基线指标，完成13轮Walk-Forward推进实验，全面评估模型排序能力与跨周期平稳性。（3）可解释性与归因目标：实现基于TreeSHAP的特征归因模块，全局明确主要影响因子的贡献占比，局部实现个股推荐打分的透明化拆解，并通过加和性数学校验确保解释可信度。（4）工程系统与交付目标：完成一套功能完备、前后端分离的股票推荐与特征归因原型系统开发，输出规范的API接口与交互界面，提交包含真实可复现实验产物的高质量毕业设计论文。</w:t>
            </w:r>
          </w:p>
        </w:tc>
      </w:tr>
      <w:tr w14:paraId="3D012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9070" w:type="dxa"/>
            <w:gridSpan w:val="5"/>
            <w:vAlign w:val="center"/>
          </w:tcPr>
          <w:p w14:paraId="474681EF">
            <w:pPr>
              <w:rPr>
                <w:rFonts w:ascii="宋体" w:hAnsi="宋体"/>
                <w:sz w:val="24"/>
              </w:rPr>
            </w:pPr>
            <w:r>
              <w:rPr>
                <w:rFonts w:hint="eastAsia" w:ascii="宋体" w:hAnsi="宋体"/>
                <w:b/>
                <w:bCs/>
                <w:sz w:val="24"/>
              </w:rPr>
              <w:t>3</w:t>
            </w:r>
            <w:r>
              <w:rPr>
                <w:rFonts w:ascii="宋体" w:hAnsi="宋体"/>
                <w:b/>
                <w:bCs/>
                <w:sz w:val="24"/>
              </w:rPr>
              <w:t>.</w:t>
            </w:r>
            <w:r>
              <w:rPr>
                <w:rFonts w:hint="eastAsia" w:ascii="宋体" w:hAnsi="宋体"/>
                <w:b/>
                <w:bCs/>
                <w:sz w:val="24"/>
              </w:rPr>
              <w:t>毕业论文进度计划</w:t>
            </w:r>
          </w:p>
        </w:tc>
      </w:tr>
      <w:tr w14:paraId="3A2D9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jc w:val="center"/>
        </w:trPr>
        <w:tc>
          <w:tcPr>
            <w:tcW w:w="9070" w:type="dxa"/>
            <w:vAlign w:val="center"/>
          </w:tcPr>
          <w:p w14:paraId="695BC709">
            <w:pPr>
              <w:jc w:val="center"/>
              <w:rPr>
                <w:rFonts w:ascii="宋体" w:hAnsi="宋体"/>
                <w:sz w:val="24"/>
              </w:rPr>
            </w:pPr>
            <w:r>
              <w:rPr>
                <w:rFonts w:hint="eastAsia" w:ascii="宋体" w:hAnsi="宋体"/>
                <w:sz w:val="24"/>
              </w:rPr>
              <w:t>序号</w:t>
            </w:r>
          </w:p>
        </w:tc>
        <w:tc>
          <w:tcPr>
            <w:tcW w:w="4375" w:type="dxa"/>
            <w:gridSpan w:val="3"/>
            <w:vAlign w:val="center"/>
          </w:tcPr>
          <w:p w14:paraId="64C74892">
            <w:pPr>
              <w:jc w:val="center"/>
              <w:rPr>
                <w:rFonts w:ascii="宋体" w:hAnsi="宋体"/>
                <w:sz w:val="24"/>
              </w:rPr>
            </w:pPr>
            <w:r>
              <w:rPr>
                <w:rFonts w:hint="eastAsia" w:ascii="宋体" w:hAnsi="宋体"/>
                <w:sz w:val="24"/>
              </w:rPr>
              <w:t>各阶段工作内容</w:t>
            </w:r>
          </w:p>
        </w:tc>
        <w:tc>
          <w:tcPr>
            <w:tcW w:w="3522" w:type="dxa"/>
            <w:vAlign w:val="center"/>
          </w:tcPr>
          <w:p w14:paraId="41667761">
            <w:pPr>
              <w:jc w:val="center"/>
              <w:rPr>
                <w:rFonts w:ascii="宋体" w:hAnsi="宋体"/>
                <w:sz w:val="24"/>
              </w:rPr>
            </w:pPr>
            <w:r>
              <w:rPr>
                <w:rFonts w:hint="eastAsia" w:ascii="宋体" w:hAnsi="宋体"/>
                <w:sz w:val="24"/>
              </w:rPr>
              <w:t>起讫日期</w:t>
            </w:r>
          </w:p>
        </w:tc>
      </w:tr>
      <w:tr w14:paraId="6802E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jc w:val="center"/>
        </w:trPr>
        <w:tc>
          <w:tcPr>
            <w:tcW w:w="9070" w:type="dxa"/>
            <w:vAlign w:val="center"/>
          </w:tcPr>
          <w:p w14:paraId="34C098D4">
            <w:pPr>
              <w:jc w:val="center"/>
              <w:rPr>
                <w:rFonts w:ascii="宋体" w:hAnsi="宋体"/>
                <w:sz w:val="24"/>
              </w:rPr>
            </w:pPr>
            <w:r>
              <w:rPr>
                <w:rFonts w:hint="eastAsia" w:ascii="宋体" w:hAnsi="宋体"/>
                <w:sz w:val="24"/>
              </w:rPr>
              <w:t>1</w:t>
            </w:r>
          </w:p>
        </w:tc>
        <w:tc>
          <w:tcPr>
            <w:tcW w:w="4375" w:type="dxa"/>
            <w:gridSpan w:val="3"/>
            <w:vAlign w:val="center"/>
          </w:tcPr>
          <w:p w14:paraId="5E12A6EF">
            <w:pPr>
              <w:jc w:val="left"/>
              <w:rPr>
                <w:rFonts w:ascii="宋体" w:hAnsi="宋体"/>
                <w:sz w:val="24"/>
              </w:rPr>
            </w:pPr>
            <w:r>
              <w:rPr>
                <w:rFonts w:hint="eastAsia" w:ascii="宋体" w:hAnsi="宋体"/>
                <w:sz w:val="24"/>
              </w:rPr>
              <w:t>制定本学院202</w:t>
            </w:r>
            <w:r>
              <w:rPr>
                <w:rFonts w:hint="eastAsia" w:ascii="宋体" w:hAnsi="宋体"/>
                <w:sz w:val="24"/>
                <w:lang w:val="en-US" w:eastAsia="zh-CN"/>
              </w:rPr>
              <w:t>6</w:t>
            </w:r>
            <w:r>
              <w:rPr>
                <w:rFonts w:hint="eastAsia" w:ascii="宋体" w:hAnsi="宋体"/>
                <w:sz w:val="24"/>
              </w:rPr>
              <w:t>届毕业论文（设计）工作计划和实施细则，报教务处备案。</w:t>
            </w:r>
          </w:p>
        </w:tc>
        <w:tc>
          <w:tcPr>
            <w:tcW w:w="3522" w:type="dxa"/>
            <w:vAlign w:val="center"/>
          </w:tcPr>
          <w:p w14:paraId="2B47AA52">
            <w:pPr>
              <w:jc w:val="left"/>
              <w:rPr>
                <w:rFonts w:ascii="宋体" w:hAnsi="宋体"/>
                <w:spacing w:val="-24"/>
                <w:sz w:val="24"/>
              </w:rPr>
            </w:pPr>
            <w:r>
              <w:rPr>
                <w:rFonts w:hint="eastAsia" w:ascii="宋体" w:hAnsi="宋体"/>
                <w:spacing w:val="-24"/>
                <w:sz w:val="24"/>
              </w:rPr>
              <w:t>202</w:t>
            </w:r>
            <w:r>
              <w:rPr>
                <w:rFonts w:hint="eastAsia" w:ascii="宋体" w:hAnsi="宋体"/>
                <w:spacing w:val="-24"/>
                <w:sz w:val="24"/>
                <w:lang w:val="en-US" w:eastAsia="zh-CN"/>
              </w:rPr>
              <w:t>5</w:t>
            </w:r>
            <w:r>
              <w:rPr>
                <w:rFonts w:hint="eastAsia" w:ascii="宋体" w:hAnsi="宋体"/>
                <w:spacing w:val="-24"/>
                <w:sz w:val="24"/>
              </w:rPr>
              <w:t xml:space="preserve">年 </w:t>
            </w:r>
            <w:r>
              <w:rPr>
                <w:rFonts w:hint="eastAsia" w:ascii="宋体" w:hAnsi="宋体"/>
                <w:spacing w:val="-24"/>
                <w:sz w:val="24"/>
                <w:lang w:val="en-US" w:eastAsia="zh-CN"/>
              </w:rPr>
              <w:t>12</w:t>
            </w:r>
            <w:r>
              <w:rPr>
                <w:rFonts w:hint="eastAsia" w:ascii="宋体" w:hAnsi="宋体"/>
                <w:spacing w:val="-24"/>
                <w:sz w:val="24"/>
              </w:rPr>
              <w:t>月</w:t>
            </w:r>
            <w:r>
              <w:rPr>
                <w:rFonts w:hint="eastAsia" w:ascii="宋体" w:hAnsi="宋体"/>
                <w:spacing w:val="-24"/>
                <w:sz w:val="24"/>
                <w:lang w:val="en-US" w:eastAsia="zh-CN"/>
              </w:rPr>
              <w:t>0</w:t>
            </w:r>
            <w:r>
              <w:rPr>
                <w:rFonts w:hint="eastAsia" w:ascii="宋体" w:hAnsi="宋体"/>
                <w:spacing w:val="-24"/>
                <w:sz w:val="24"/>
              </w:rPr>
              <w:t>1日—202</w:t>
            </w:r>
            <w:r>
              <w:rPr>
                <w:rFonts w:hint="eastAsia" w:ascii="宋体" w:hAnsi="宋体"/>
                <w:spacing w:val="-24"/>
                <w:sz w:val="24"/>
                <w:lang w:val="en-US" w:eastAsia="zh-CN"/>
              </w:rPr>
              <w:t>5</w:t>
            </w:r>
            <w:r>
              <w:rPr>
                <w:rFonts w:hint="eastAsia" w:ascii="宋体" w:hAnsi="宋体"/>
                <w:spacing w:val="-24"/>
                <w:sz w:val="24"/>
              </w:rPr>
              <w:t xml:space="preserve">年 </w:t>
            </w:r>
            <w:r>
              <w:rPr>
                <w:rFonts w:hint="eastAsia" w:ascii="宋体" w:hAnsi="宋体"/>
                <w:spacing w:val="-24"/>
                <w:sz w:val="24"/>
                <w:lang w:val="en-US" w:eastAsia="zh-CN"/>
              </w:rPr>
              <w:t>12</w:t>
            </w:r>
            <w:r>
              <w:rPr>
                <w:rFonts w:hint="eastAsia" w:ascii="宋体" w:hAnsi="宋体"/>
                <w:spacing w:val="-24"/>
                <w:sz w:val="24"/>
              </w:rPr>
              <w:t>月</w:t>
            </w:r>
            <w:r>
              <w:rPr>
                <w:rFonts w:hint="eastAsia" w:ascii="宋体" w:hAnsi="宋体"/>
                <w:spacing w:val="-24"/>
                <w:sz w:val="24"/>
                <w:lang w:val="en-US" w:eastAsia="zh-CN"/>
              </w:rPr>
              <w:t>07</w:t>
            </w:r>
            <w:r>
              <w:rPr>
                <w:rFonts w:hint="eastAsia" w:ascii="宋体" w:hAnsi="宋体"/>
                <w:spacing w:val="-24"/>
                <w:sz w:val="24"/>
              </w:rPr>
              <w:t>日</w:t>
            </w:r>
          </w:p>
        </w:tc>
      </w:tr>
      <w:tr w14:paraId="7434C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jc w:val="center"/>
        </w:trPr>
        <w:tc>
          <w:tcPr>
            <w:tcW w:w="9070" w:type="dxa"/>
            <w:vAlign w:val="center"/>
          </w:tcPr>
          <w:p w14:paraId="09610F37">
            <w:pPr>
              <w:jc w:val="center"/>
              <w:rPr>
                <w:rFonts w:ascii="宋体" w:hAnsi="宋体"/>
                <w:sz w:val="24"/>
              </w:rPr>
            </w:pPr>
            <w:r>
              <w:rPr>
                <w:rFonts w:hint="eastAsia" w:ascii="宋体" w:hAnsi="宋体"/>
                <w:sz w:val="24"/>
              </w:rPr>
              <w:t>2</w:t>
            </w:r>
          </w:p>
        </w:tc>
        <w:tc>
          <w:tcPr>
            <w:tcW w:w="4375" w:type="dxa"/>
            <w:gridSpan w:val="3"/>
            <w:vAlign w:val="center"/>
          </w:tcPr>
          <w:p w14:paraId="2DB0A193">
            <w:pPr>
              <w:tabs>
                <w:tab w:val="left" w:pos="312"/>
              </w:tabs>
              <w:rPr>
                <w:rFonts w:hint="eastAsia" w:ascii="宋体" w:hAnsi="宋体"/>
                <w:sz w:val="24"/>
              </w:rPr>
            </w:pPr>
            <w:r>
              <w:rPr>
                <w:rFonts w:hint="eastAsia" w:ascii="宋体" w:hAnsi="宋体"/>
                <w:sz w:val="24"/>
              </w:rPr>
              <w:t>1</w:t>
            </w:r>
            <w:r>
              <w:rPr>
                <w:rFonts w:ascii="宋体" w:hAnsi="宋体"/>
                <w:sz w:val="24"/>
              </w:rPr>
              <w:t>.</w:t>
            </w:r>
            <w:r>
              <w:rPr>
                <w:rFonts w:hint="eastAsia" w:ascii="宋体" w:hAnsi="宋体"/>
                <w:sz w:val="24"/>
              </w:rPr>
              <w:t>各学院选聘毕业论文（设计）指导教师，组织命题、专家审题工作。</w:t>
            </w:r>
          </w:p>
          <w:p w14:paraId="2342AEA8">
            <w:pPr>
              <w:tabs>
                <w:tab w:val="left" w:pos="312"/>
              </w:tabs>
              <w:rPr>
                <w:rFonts w:ascii="宋体" w:hAnsi="宋体"/>
                <w:sz w:val="24"/>
              </w:rPr>
            </w:pPr>
            <w:r>
              <w:rPr>
                <w:rFonts w:hint="eastAsia" w:ascii="宋体" w:hAnsi="宋体"/>
                <w:sz w:val="24"/>
              </w:rPr>
              <w:t>2</w:t>
            </w:r>
            <w:r>
              <w:rPr>
                <w:rFonts w:ascii="宋体" w:hAnsi="宋体"/>
                <w:sz w:val="24"/>
              </w:rPr>
              <w:t>.</w:t>
            </w:r>
            <w:r>
              <w:rPr>
                <w:rFonts w:hint="eastAsia" w:ascii="宋体" w:hAnsi="宋体"/>
                <w:sz w:val="24"/>
              </w:rPr>
              <w:t>组织学生完成选题，确定指导关系。</w:t>
            </w:r>
          </w:p>
          <w:p w14:paraId="76CB0CC5">
            <w:pPr>
              <w:jc w:val="left"/>
              <w:rPr>
                <w:rFonts w:ascii="宋体" w:hAnsi="宋体"/>
                <w:sz w:val="24"/>
              </w:rPr>
            </w:pPr>
            <w:r>
              <w:rPr>
                <w:rFonts w:hint="eastAsia" w:ascii="宋体" w:hAnsi="宋体"/>
                <w:sz w:val="24"/>
              </w:rPr>
              <w:t>3</w:t>
            </w:r>
            <w:r>
              <w:rPr>
                <w:rFonts w:ascii="宋体" w:hAnsi="宋体"/>
                <w:sz w:val="24"/>
              </w:rPr>
              <w:t>.</w:t>
            </w:r>
            <w:r>
              <w:rPr>
                <w:rFonts w:hint="eastAsia" w:ascii="宋体" w:hAnsi="宋体"/>
                <w:sz w:val="24"/>
              </w:rPr>
              <w:t>命题表和选题汇总表报教务处备案。</w:t>
            </w:r>
          </w:p>
        </w:tc>
        <w:tc>
          <w:tcPr>
            <w:tcW w:w="3522" w:type="dxa"/>
            <w:vAlign w:val="center"/>
          </w:tcPr>
          <w:p w14:paraId="51C86D90">
            <w:pPr>
              <w:jc w:val="left"/>
              <w:rPr>
                <w:rFonts w:ascii="宋体" w:hAnsi="宋体"/>
                <w:sz w:val="24"/>
              </w:rPr>
            </w:pPr>
            <w:r>
              <w:rPr>
                <w:rFonts w:hint="eastAsia" w:ascii="宋体" w:hAnsi="宋体"/>
                <w:spacing w:val="-24"/>
                <w:sz w:val="24"/>
              </w:rPr>
              <w:t>202</w:t>
            </w:r>
            <w:r>
              <w:rPr>
                <w:rFonts w:hint="eastAsia" w:ascii="宋体" w:hAnsi="宋体"/>
                <w:spacing w:val="-24"/>
                <w:sz w:val="24"/>
                <w:lang w:val="en-US" w:eastAsia="zh-CN"/>
              </w:rPr>
              <w:t>5</w:t>
            </w:r>
            <w:r>
              <w:rPr>
                <w:rFonts w:hint="eastAsia" w:ascii="宋体" w:hAnsi="宋体"/>
                <w:spacing w:val="-24"/>
                <w:sz w:val="24"/>
              </w:rPr>
              <w:t>年 1</w:t>
            </w:r>
            <w:r>
              <w:rPr>
                <w:rFonts w:hint="eastAsia" w:ascii="宋体" w:hAnsi="宋体"/>
                <w:spacing w:val="-24"/>
                <w:sz w:val="24"/>
                <w:lang w:val="en-US" w:eastAsia="zh-CN"/>
              </w:rPr>
              <w:t>2</w:t>
            </w:r>
            <w:r>
              <w:rPr>
                <w:rFonts w:hint="eastAsia" w:ascii="宋体" w:hAnsi="宋体"/>
                <w:spacing w:val="-24"/>
                <w:sz w:val="24"/>
              </w:rPr>
              <w:t>月</w:t>
            </w:r>
            <w:r>
              <w:rPr>
                <w:rFonts w:hint="eastAsia" w:ascii="宋体" w:hAnsi="宋体"/>
                <w:spacing w:val="-24"/>
                <w:sz w:val="24"/>
                <w:lang w:val="en-US" w:eastAsia="zh-CN"/>
              </w:rPr>
              <w:t>08</w:t>
            </w:r>
            <w:r>
              <w:rPr>
                <w:rFonts w:hint="eastAsia" w:ascii="宋体" w:hAnsi="宋体"/>
                <w:spacing w:val="-24"/>
                <w:sz w:val="24"/>
              </w:rPr>
              <w:t>日—202</w:t>
            </w:r>
            <w:r>
              <w:rPr>
                <w:rFonts w:hint="eastAsia" w:ascii="宋体" w:hAnsi="宋体"/>
                <w:spacing w:val="-24"/>
                <w:sz w:val="24"/>
                <w:lang w:val="en-US" w:eastAsia="zh-CN"/>
              </w:rPr>
              <w:t>5</w:t>
            </w:r>
            <w:r>
              <w:rPr>
                <w:rFonts w:hint="eastAsia" w:ascii="宋体" w:hAnsi="宋体"/>
                <w:spacing w:val="-24"/>
                <w:sz w:val="24"/>
              </w:rPr>
              <w:t>年 1</w:t>
            </w:r>
            <w:r>
              <w:rPr>
                <w:rFonts w:hint="eastAsia" w:ascii="宋体" w:hAnsi="宋体"/>
                <w:spacing w:val="-24"/>
                <w:sz w:val="24"/>
                <w:lang w:val="en-US" w:eastAsia="zh-CN"/>
              </w:rPr>
              <w:t>2</w:t>
            </w:r>
            <w:r>
              <w:rPr>
                <w:rFonts w:hint="eastAsia" w:ascii="宋体" w:hAnsi="宋体"/>
                <w:spacing w:val="-24"/>
                <w:sz w:val="24"/>
              </w:rPr>
              <w:t>月</w:t>
            </w:r>
            <w:r>
              <w:rPr>
                <w:rFonts w:hint="eastAsia" w:ascii="宋体" w:hAnsi="宋体"/>
                <w:spacing w:val="-24"/>
                <w:sz w:val="24"/>
                <w:lang w:val="en-US" w:eastAsia="zh-CN"/>
              </w:rPr>
              <w:t>16</w:t>
            </w:r>
            <w:r>
              <w:rPr>
                <w:rFonts w:hint="eastAsia" w:ascii="宋体" w:hAnsi="宋体"/>
                <w:spacing w:val="-24"/>
                <w:sz w:val="24"/>
              </w:rPr>
              <w:t>日</w:t>
            </w:r>
          </w:p>
        </w:tc>
      </w:tr>
      <w:tr w14:paraId="25D0A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jc w:val="center"/>
        </w:trPr>
        <w:tc>
          <w:tcPr>
            <w:tcW w:w="9070" w:type="dxa"/>
            <w:vAlign w:val="center"/>
          </w:tcPr>
          <w:p w14:paraId="0B93531D">
            <w:pPr>
              <w:jc w:val="center"/>
              <w:rPr>
                <w:rFonts w:ascii="宋体" w:hAnsi="宋体"/>
                <w:sz w:val="24"/>
              </w:rPr>
            </w:pPr>
            <w:r>
              <w:rPr>
                <w:rFonts w:hint="eastAsia" w:ascii="宋体" w:hAnsi="宋体"/>
                <w:sz w:val="24"/>
              </w:rPr>
              <w:t>3</w:t>
            </w:r>
          </w:p>
        </w:tc>
        <w:tc>
          <w:tcPr>
            <w:tcW w:w="4375" w:type="dxa"/>
            <w:gridSpan w:val="3"/>
            <w:vAlign w:val="center"/>
          </w:tcPr>
          <w:p w14:paraId="110B82AC">
            <w:pPr>
              <w:jc w:val="left"/>
              <w:rPr>
                <w:rFonts w:ascii="宋体" w:hAnsi="宋体"/>
                <w:sz w:val="24"/>
              </w:rPr>
            </w:pPr>
            <w:r>
              <w:rPr>
                <w:rFonts w:hint="eastAsia" w:ascii="宋体" w:hAnsi="宋体"/>
                <w:sz w:val="24"/>
              </w:rPr>
              <w:t>撰写开题报告</w:t>
            </w:r>
          </w:p>
        </w:tc>
        <w:tc>
          <w:tcPr>
            <w:tcW w:w="3522" w:type="dxa"/>
            <w:vAlign w:val="center"/>
          </w:tcPr>
          <w:p w14:paraId="348CB1DE">
            <w:pPr>
              <w:jc w:val="left"/>
              <w:rPr>
                <w:rFonts w:ascii="宋体" w:hAnsi="宋体"/>
                <w:sz w:val="24"/>
              </w:rPr>
            </w:pPr>
            <w:r>
              <w:rPr>
                <w:rFonts w:hint="eastAsia" w:ascii="宋体" w:hAnsi="宋体"/>
                <w:sz w:val="24"/>
              </w:rPr>
              <w:t>202</w:t>
            </w:r>
            <w:r>
              <w:rPr>
                <w:rFonts w:hint="eastAsia" w:ascii="宋体" w:hAnsi="宋体"/>
                <w:sz w:val="24"/>
                <w:lang w:val="en-US" w:eastAsia="zh-CN"/>
              </w:rPr>
              <w:t>5</w:t>
            </w:r>
            <w:r>
              <w:rPr>
                <w:rFonts w:hint="eastAsia" w:ascii="宋体" w:hAnsi="宋体"/>
                <w:sz w:val="24"/>
              </w:rPr>
              <w:t>年1</w:t>
            </w:r>
            <w:r>
              <w:rPr>
                <w:rFonts w:hint="eastAsia" w:ascii="宋体" w:hAnsi="宋体"/>
                <w:sz w:val="24"/>
                <w:lang w:val="en-US" w:eastAsia="zh-CN"/>
              </w:rPr>
              <w:t>2</w:t>
            </w:r>
            <w:r>
              <w:rPr>
                <w:rFonts w:hint="eastAsia" w:ascii="宋体" w:hAnsi="宋体"/>
                <w:sz w:val="24"/>
              </w:rPr>
              <w:t>月1</w:t>
            </w:r>
            <w:r>
              <w:rPr>
                <w:rFonts w:hint="eastAsia" w:ascii="宋体" w:hAnsi="宋体"/>
                <w:sz w:val="24"/>
                <w:lang w:val="en-US" w:eastAsia="zh-CN"/>
              </w:rPr>
              <w:t>7</w:t>
            </w:r>
            <w:r>
              <w:rPr>
                <w:rFonts w:hint="eastAsia" w:ascii="宋体" w:hAnsi="宋体"/>
                <w:sz w:val="24"/>
              </w:rPr>
              <w:t>日—202</w:t>
            </w:r>
            <w:r>
              <w:rPr>
                <w:rFonts w:hint="eastAsia" w:ascii="宋体" w:hAnsi="宋体"/>
                <w:sz w:val="24"/>
                <w:lang w:val="en-US" w:eastAsia="zh-CN"/>
              </w:rPr>
              <w:t>5</w:t>
            </w:r>
            <w:r>
              <w:rPr>
                <w:rFonts w:hint="eastAsia" w:ascii="宋体" w:hAnsi="宋体"/>
                <w:sz w:val="24"/>
              </w:rPr>
              <w:t>年1</w:t>
            </w:r>
            <w:r>
              <w:rPr>
                <w:rFonts w:hint="eastAsia" w:ascii="宋体" w:hAnsi="宋体"/>
                <w:sz w:val="24"/>
                <w:lang w:val="en-US" w:eastAsia="zh-CN"/>
              </w:rPr>
              <w:t>2</w:t>
            </w:r>
            <w:r>
              <w:rPr>
                <w:rFonts w:hint="eastAsia" w:ascii="宋体" w:hAnsi="宋体"/>
                <w:sz w:val="24"/>
              </w:rPr>
              <w:t>月</w:t>
            </w:r>
            <w:r>
              <w:rPr>
                <w:rFonts w:hint="eastAsia" w:ascii="宋体" w:hAnsi="宋体"/>
                <w:sz w:val="24"/>
                <w:lang w:val="en-US" w:eastAsia="zh-CN"/>
              </w:rPr>
              <w:t>25</w:t>
            </w:r>
            <w:r>
              <w:rPr>
                <w:rFonts w:hint="eastAsia" w:ascii="宋体" w:hAnsi="宋体"/>
                <w:sz w:val="24"/>
              </w:rPr>
              <w:t>日</w:t>
            </w:r>
          </w:p>
        </w:tc>
      </w:tr>
      <w:tr w14:paraId="38D11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jc w:val="center"/>
        </w:trPr>
        <w:tc>
          <w:tcPr>
            <w:tcW w:w="9070" w:type="dxa"/>
            <w:vAlign w:val="center"/>
          </w:tcPr>
          <w:p w14:paraId="22CC9800">
            <w:pPr>
              <w:jc w:val="center"/>
              <w:rPr>
                <w:rFonts w:ascii="宋体" w:hAnsi="宋体"/>
                <w:sz w:val="24"/>
              </w:rPr>
            </w:pPr>
            <w:r>
              <w:rPr>
                <w:rFonts w:hint="eastAsia" w:ascii="宋体" w:hAnsi="宋体"/>
                <w:sz w:val="24"/>
              </w:rPr>
              <w:t>4</w:t>
            </w:r>
          </w:p>
        </w:tc>
        <w:tc>
          <w:tcPr>
            <w:tcW w:w="4375" w:type="dxa"/>
            <w:gridSpan w:val="3"/>
            <w:vAlign w:val="center"/>
          </w:tcPr>
          <w:p w14:paraId="6F2AA67E">
            <w:pPr>
              <w:jc w:val="left"/>
              <w:rPr>
                <w:rFonts w:ascii="宋体" w:hAnsi="宋体"/>
                <w:sz w:val="24"/>
              </w:rPr>
            </w:pPr>
            <w:r>
              <w:rPr>
                <w:rFonts w:hint="eastAsia" w:ascii="宋体" w:hAnsi="宋体"/>
                <w:sz w:val="24"/>
              </w:rPr>
              <w:t>开题答辩</w:t>
            </w:r>
          </w:p>
        </w:tc>
        <w:tc>
          <w:tcPr>
            <w:tcW w:w="3522" w:type="dxa"/>
            <w:vAlign w:val="center"/>
          </w:tcPr>
          <w:p w14:paraId="1C4F0E7F">
            <w:pPr>
              <w:jc w:val="left"/>
              <w:rPr>
                <w:rFonts w:ascii="宋体" w:hAnsi="宋体"/>
                <w:sz w:val="24"/>
              </w:rPr>
            </w:pPr>
            <w:r>
              <w:rPr>
                <w:rFonts w:hint="eastAsia" w:ascii="宋体" w:hAnsi="宋体"/>
                <w:sz w:val="24"/>
              </w:rPr>
              <w:t>202</w:t>
            </w:r>
            <w:r>
              <w:rPr>
                <w:rFonts w:hint="eastAsia" w:ascii="宋体" w:hAnsi="宋体"/>
                <w:sz w:val="24"/>
                <w:lang w:val="en-US" w:eastAsia="zh-CN"/>
              </w:rPr>
              <w:t>5</w:t>
            </w:r>
            <w:r>
              <w:rPr>
                <w:rFonts w:hint="eastAsia" w:ascii="宋体" w:hAnsi="宋体"/>
                <w:sz w:val="24"/>
              </w:rPr>
              <w:t>年12月</w:t>
            </w:r>
            <w:r>
              <w:rPr>
                <w:rFonts w:hint="eastAsia" w:ascii="宋体" w:hAnsi="宋体"/>
                <w:sz w:val="24"/>
                <w:lang w:val="en-US" w:eastAsia="zh-CN"/>
              </w:rPr>
              <w:t>26</w:t>
            </w:r>
            <w:r>
              <w:rPr>
                <w:rFonts w:hint="eastAsia" w:ascii="宋体" w:hAnsi="宋体"/>
                <w:sz w:val="24"/>
              </w:rPr>
              <w:t>日—202</w:t>
            </w:r>
            <w:r>
              <w:rPr>
                <w:rFonts w:hint="eastAsia" w:ascii="宋体" w:hAnsi="宋体"/>
                <w:sz w:val="24"/>
                <w:lang w:val="en-US" w:eastAsia="zh-CN"/>
              </w:rPr>
              <w:t>5</w:t>
            </w:r>
            <w:r>
              <w:rPr>
                <w:rFonts w:hint="eastAsia" w:ascii="宋体" w:hAnsi="宋体"/>
                <w:sz w:val="24"/>
              </w:rPr>
              <w:t>年12月</w:t>
            </w:r>
            <w:r>
              <w:rPr>
                <w:rFonts w:hint="eastAsia" w:ascii="宋体" w:hAnsi="宋体"/>
                <w:sz w:val="24"/>
                <w:lang w:val="en-US" w:eastAsia="zh-CN"/>
              </w:rPr>
              <w:t>28</w:t>
            </w:r>
            <w:r>
              <w:rPr>
                <w:rFonts w:hint="eastAsia" w:ascii="宋体" w:hAnsi="宋体"/>
                <w:sz w:val="24"/>
              </w:rPr>
              <w:t>日</w:t>
            </w:r>
          </w:p>
        </w:tc>
      </w:tr>
      <w:tr w14:paraId="669D5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jc w:val="center"/>
        </w:trPr>
        <w:tc>
          <w:tcPr>
            <w:tcW w:w="9070" w:type="dxa"/>
            <w:vAlign w:val="center"/>
          </w:tcPr>
          <w:p w14:paraId="32BF9525">
            <w:pPr>
              <w:jc w:val="center"/>
              <w:rPr>
                <w:rFonts w:ascii="宋体" w:hAnsi="宋体"/>
                <w:sz w:val="24"/>
              </w:rPr>
            </w:pPr>
            <w:r>
              <w:rPr>
                <w:rFonts w:hint="eastAsia" w:ascii="宋体" w:hAnsi="宋体"/>
                <w:sz w:val="24"/>
              </w:rPr>
              <w:t>5</w:t>
            </w:r>
          </w:p>
        </w:tc>
        <w:tc>
          <w:tcPr>
            <w:tcW w:w="4375" w:type="dxa"/>
            <w:gridSpan w:val="3"/>
            <w:vAlign w:val="center"/>
          </w:tcPr>
          <w:p w14:paraId="719BF91A">
            <w:pPr>
              <w:jc w:val="left"/>
              <w:rPr>
                <w:rFonts w:ascii="宋体" w:hAnsi="宋体"/>
                <w:sz w:val="24"/>
              </w:rPr>
            </w:pPr>
            <w:r>
              <w:rPr>
                <w:rFonts w:hint="eastAsia" w:ascii="宋体" w:hAnsi="宋体"/>
                <w:sz w:val="24"/>
              </w:rPr>
              <w:t>撰写初稿</w:t>
            </w:r>
          </w:p>
        </w:tc>
        <w:tc>
          <w:tcPr>
            <w:tcW w:w="3522" w:type="dxa"/>
            <w:vAlign w:val="center"/>
          </w:tcPr>
          <w:p w14:paraId="51753584">
            <w:pPr>
              <w:jc w:val="left"/>
              <w:rPr>
                <w:rFonts w:ascii="宋体" w:hAnsi="宋体"/>
                <w:sz w:val="24"/>
              </w:rPr>
            </w:pPr>
            <w:r>
              <w:rPr>
                <w:rFonts w:hint="eastAsia" w:ascii="宋体" w:hAnsi="宋体"/>
                <w:sz w:val="24"/>
              </w:rPr>
              <w:t>202</w:t>
            </w:r>
            <w:r>
              <w:rPr>
                <w:rFonts w:hint="eastAsia" w:ascii="宋体" w:hAnsi="宋体"/>
                <w:sz w:val="24"/>
                <w:lang w:val="en-US" w:eastAsia="zh-CN"/>
              </w:rPr>
              <w:t>5</w:t>
            </w:r>
            <w:r>
              <w:rPr>
                <w:rFonts w:hint="eastAsia" w:ascii="宋体" w:hAnsi="宋体"/>
                <w:sz w:val="24"/>
              </w:rPr>
              <w:t>年12月</w:t>
            </w:r>
            <w:r>
              <w:rPr>
                <w:rFonts w:hint="eastAsia" w:ascii="宋体" w:hAnsi="宋体"/>
                <w:sz w:val="24"/>
                <w:lang w:val="en-US" w:eastAsia="zh-CN"/>
              </w:rPr>
              <w:t>29</w:t>
            </w:r>
            <w:r>
              <w:rPr>
                <w:rFonts w:hint="eastAsia" w:ascii="宋体" w:hAnsi="宋体"/>
                <w:sz w:val="24"/>
              </w:rPr>
              <w:t>日—202</w:t>
            </w:r>
            <w:r>
              <w:rPr>
                <w:rFonts w:hint="eastAsia" w:ascii="宋体" w:hAnsi="宋体"/>
                <w:sz w:val="24"/>
                <w:lang w:val="en-US" w:eastAsia="zh-CN"/>
              </w:rPr>
              <w:t>6</w:t>
            </w:r>
            <w:r>
              <w:rPr>
                <w:rFonts w:hint="eastAsia" w:ascii="宋体" w:hAnsi="宋体"/>
                <w:sz w:val="24"/>
              </w:rPr>
              <w:t>年2月28日</w:t>
            </w:r>
          </w:p>
        </w:tc>
      </w:tr>
      <w:tr w14:paraId="2410B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jc w:val="center"/>
        </w:trPr>
        <w:tc>
          <w:tcPr>
            <w:tcW w:w="9070" w:type="dxa"/>
            <w:vAlign w:val="center"/>
          </w:tcPr>
          <w:p w14:paraId="346FC3D8">
            <w:pPr>
              <w:jc w:val="center"/>
              <w:rPr>
                <w:rFonts w:ascii="宋体" w:hAnsi="宋体"/>
                <w:sz w:val="24"/>
              </w:rPr>
            </w:pPr>
            <w:r>
              <w:rPr>
                <w:rFonts w:hint="eastAsia" w:ascii="宋体" w:hAnsi="宋体"/>
                <w:sz w:val="24"/>
              </w:rPr>
              <w:t>6</w:t>
            </w:r>
          </w:p>
        </w:tc>
        <w:tc>
          <w:tcPr>
            <w:tcW w:w="4375" w:type="dxa"/>
            <w:gridSpan w:val="3"/>
            <w:vAlign w:val="center"/>
          </w:tcPr>
          <w:p w14:paraId="2FA5078D">
            <w:pPr>
              <w:jc w:val="left"/>
              <w:rPr>
                <w:rFonts w:ascii="宋体" w:hAnsi="宋体"/>
                <w:sz w:val="24"/>
              </w:rPr>
            </w:pPr>
            <w:r>
              <w:rPr>
                <w:rFonts w:hint="eastAsia" w:ascii="宋体" w:hAnsi="宋体"/>
                <w:sz w:val="24"/>
              </w:rPr>
              <w:t>中期检查</w:t>
            </w:r>
          </w:p>
        </w:tc>
        <w:tc>
          <w:tcPr>
            <w:tcW w:w="3522" w:type="dxa"/>
            <w:vAlign w:val="center"/>
          </w:tcPr>
          <w:p w14:paraId="29A15BA3">
            <w:pPr>
              <w:jc w:val="left"/>
              <w:rPr>
                <w:rFonts w:ascii="宋体" w:hAnsi="宋体"/>
                <w:sz w:val="24"/>
              </w:rPr>
            </w:pPr>
            <w:r>
              <w:rPr>
                <w:rFonts w:hint="eastAsia" w:ascii="宋体" w:hAnsi="宋体"/>
                <w:sz w:val="24"/>
              </w:rPr>
              <w:t>202</w:t>
            </w:r>
            <w:r>
              <w:rPr>
                <w:rFonts w:hint="eastAsia" w:ascii="宋体" w:hAnsi="宋体"/>
                <w:sz w:val="24"/>
                <w:lang w:val="en-US" w:eastAsia="zh-CN"/>
              </w:rPr>
              <w:t>6</w:t>
            </w:r>
            <w:r>
              <w:rPr>
                <w:rFonts w:hint="eastAsia" w:ascii="宋体" w:hAnsi="宋体"/>
                <w:sz w:val="24"/>
              </w:rPr>
              <w:t>年</w:t>
            </w:r>
            <w:r>
              <w:rPr>
                <w:rFonts w:hint="eastAsia" w:ascii="宋体" w:hAnsi="宋体"/>
                <w:sz w:val="24"/>
                <w:lang w:val="en-US" w:eastAsia="zh-CN"/>
              </w:rPr>
              <w:t>2</w:t>
            </w:r>
            <w:r>
              <w:rPr>
                <w:rFonts w:hint="eastAsia" w:ascii="宋体" w:hAnsi="宋体"/>
                <w:sz w:val="24"/>
              </w:rPr>
              <w:t>月</w:t>
            </w:r>
            <w:r>
              <w:rPr>
                <w:rFonts w:hint="eastAsia" w:ascii="宋体" w:hAnsi="宋体"/>
                <w:sz w:val="24"/>
                <w:lang w:val="en-US" w:eastAsia="zh-CN"/>
              </w:rPr>
              <w:t>29</w:t>
            </w:r>
            <w:r>
              <w:rPr>
                <w:rFonts w:hint="eastAsia" w:ascii="宋体" w:hAnsi="宋体"/>
                <w:sz w:val="24"/>
              </w:rPr>
              <w:t>日—202</w:t>
            </w:r>
            <w:r>
              <w:rPr>
                <w:rFonts w:hint="eastAsia" w:ascii="宋体" w:hAnsi="宋体"/>
                <w:sz w:val="24"/>
                <w:lang w:val="en-US" w:eastAsia="zh-CN"/>
              </w:rPr>
              <w:t>6</w:t>
            </w:r>
            <w:r>
              <w:rPr>
                <w:rFonts w:hint="eastAsia" w:ascii="宋体" w:hAnsi="宋体"/>
                <w:sz w:val="24"/>
              </w:rPr>
              <w:t>年3月15日</w:t>
            </w:r>
          </w:p>
        </w:tc>
      </w:tr>
      <w:tr w14:paraId="4F33A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jc w:val="center"/>
        </w:trPr>
        <w:tc>
          <w:tcPr>
            <w:tcW w:w="9070" w:type="dxa"/>
            <w:vAlign w:val="center"/>
          </w:tcPr>
          <w:p w14:paraId="137B2509">
            <w:pPr>
              <w:jc w:val="center"/>
              <w:rPr>
                <w:rFonts w:ascii="宋体" w:hAnsi="宋体"/>
                <w:sz w:val="24"/>
              </w:rPr>
            </w:pPr>
            <w:r>
              <w:rPr>
                <w:rFonts w:hint="eastAsia" w:ascii="宋体" w:hAnsi="宋体"/>
                <w:sz w:val="24"/>
              </w:rPr>
              <w:t>7</w:t>
            </w:r>
          </w:p>
        </w:tc>
        <w:tc>
          <w:tcPr>
            <w:tcW w:w="4375" w:type="dxa"/>
            <w:gridSpan w:val="3"/>
            <w:vAlign w:val="center"/>
          </w:tcPr>
          <w:p w14:paraId="21F2DBE1">
            <w:pPr>
              <w:jc w:val="left"/>
              <w:rPr>
                <w:rFonts w:ascii="宋体" w:hAnsi="宋体"/>
                <w:sz w:val="24"/>
              </w:rPr>
            </w:pPr>
            <w:r>
              <w:rPr>
                <w:rFonts w:hint="eastAsia" w:ascii="宋体" w:hAnsi="宋体"/>
                <w:sz w:val="24"/>
              </w:rPr>
              <w:t>定稿和查重</w:t>
            </w:r>
          </w:p>
        </w:tc>
        <w:tc>
          <w:tcPr>
            <w:tcW w:w="3522" w:type="dxa"/>
            <w:vAlign w:val="center"/>
          </w:tcPr>
          <w:p w14:paraId="1DD3E6EC">
            <w:pPr>
              <w:jc w:val="left"/>
              <w:rPr>
                <w:rFonts w:ascii="宋体" w:hAnsi="宋体"/>
                <w:sz w:val="24"/>
              </w:rPr>
            </w:pPr>
            <w:r>
              <w:rPr>
                <w:rFonts w:hint="eastAsia" w:ascii="宋体" w:hAnsi="宋体"/>
                <w:sz w:val="24"/>
              </w:rPr>
              <w:t>202</w:t>
            </w:r>
            <w:r>
              <w:rPr>
                <w:rFonts w:hint="eastAsia" w:ascii="宋体" w:hAnsi="宋体"/>
                <w:sz w:val="24"/>
                <w:lang w:val="en-US" w:eastAsia="zh-CN"/>
              </w:rPr>
              <w:t>6</w:t>
            </w:r>
            <w:r>
              <w:rPr>
                <w:rFonts w:hint="eastAsia" w:ascii="宋体" w:hAnsi="宋体"/>
                <w:sz w:val="24"/>
              </w:rPr>
              <w:t>年3月16日—202</w:t>
            </w:r>
            <w:r>
              <w:rPr>
                <w:rFonts w:hint="eastAsia" w:ascii="宋体" w:hAnsi="宋体"/>
                <w:sz w:val="24"/>
                <w:lang w:val="en-US" w:eastAsia="zh-CN"/>
              </w:rPr>
              <w:t>6</w:t>
            </w:r>
            <w:r>
              <w:rPr>
                <w:rFonts w:hint="eastAsia" w:ascii="宋体" w:hAnsi="宋体"/>
                <w:sz w:val="24"/>
              </w:rPr>
              <w:t>年4月15日</w:t>
            </w:r>
          </w:p>
        </w:tc>
      </w:tr>
      <w:tr w14:paraId="4CE1F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jc w:val="center"/>
        </w:trPr>
        <w:tc>
          <w:tcPr>
            <w:tcW w:w="9070" w:type="dxa"/>
            <w:vAlign w:val="center"/>
          </w:tcPr>
          <w:p w14:paraId="0B6D6F45">
            <w:pPr>
              <w:jc w:val="center"/>
              <w:rPr>
                <w:rFonts w:ascii="宋体" w:hAnsi="宋体"/>
                <w:sz w:val="24"/>
              </w:rPr>
            </w:pPr>
            <w:r>
              <w:rPr>
                <w:rFonts w:hint="eastAsia" w:ascii="宋体" w:hAnsi="宋体"/>
                <w:sz w:val="24"/>
              </w:rPr>
              <w:t>8</w:t>
            </w:r>
          </w:p>
        </w:tc>
        <w:tc>
          <w:tcPr>
            <w:tcW w:w="4375" w:type="dxa"/>
            <w:gridSpan w:val="3"/>
            <w:vAlign w:val="center"/>
          </w:tcPr>
          <w:p w14:paraId="5E8223B6">
            <w:pPr>
              <w:jc w:val="left"/>
              <w:rPr>
                <w:rFonts w:ascii="宋体" w:hAnsi="宋体" w:cs="仿宋_GB2312"/>
                <w:color w:val="000000" w:themeColor="text1"/>
                <w:sz w:val="24"/>
              </w:rPr>
            </w:pPr>
            <w:r>
              <w:rPr>
                <w:rFonts w:hint="eastAsia" w:ascii="宋体" w:hAnsi="宋体"/>
                <w:sz w:val="24"/>
              </w:rPr>
              <w:t>开展答辩</w:t>
            </w:r>
          </w:p>
        </w:tc>
        <w:tc>
          <w:tcPr>
            <w:tcW w:w="3522" w:type="dxa"/>
            <w:vAlign w:val="center"/>
          </w:tcPr>
          <w:p w14:paraId="659A02E5">
            <w:pPr>
              <w:jc w:val="left"/>
              <w:rPr>
                <w:rFonts w:ascii="宋体" w:hAnsi="宋体" w:cs="仿宋_GB2312"/>
                <w:color w:val="000000" w:themeColor="text1"/>
                <w:sz w:val="24"/>
              </w:rPr>
            </w:pPr>
            <w:r>
              <w:rPr>
                <w:rFonts w:hint="eastAsia" w:ascii="宋体" w:hAnsi="宋体"/>
                <w:sz w:val="24"/>
              </w:rPr>
              <w:t>202</w:t>
            </w:r>
            <w:r>
              <w:rPr>
                <w:rFonts w:hint="eastAsia" w:ascii="宋体" w:hAnsi="宋体"/>
                <w:sz w:val="24"/>
                <w:lang w:val="en-US" w:eastAsia="zh-CN"/>
              </w:rPr>
              <w:t>6</w:t>
            </w:r>
            <w:r>
              <w:rPr>
                <w:rFonts w:hint="eastAsia" w:ascii="宋体" w:hAnsi="宋体"/>
                <w:sz w:val="24"/>
              </w:rPr>
              <w:t>年4月16日—202</w:t>
            </w:r>
            <w:r>
              <w:rPr>
                <w:rFonts w:hint="eastAsia" w:ascii="宋体" w:hAnsi="宋体"/>
                <w:sz w:val="24"/>
                <w:lang w:val="en-US" w:eastAsia="zh-CN"/>
              </w:rPr>
              <w:t>6</w:t>
            </w:r>
            <w:r>
              <w:rPr>
                <w:rFonts w:hint="eastAsia" w:ascii="宋体" w:hAnsi="宋体"/>
                <w:sz w:val="24"/>
              </w:rPr>
              <w:t>年 4月30日</w:t>
            </w:r>
          </w:p>
        </w:tc>
      </w:tr>
      <w:tr w14:paraId="2FE37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jc w:val="center"/>
        </w:trPr>
        <w:tc>
          <w:tcPr>
            <w:tcW w:w="9070" w:type="dxa"/>
            <w:gridSpan w:val="5"/>
            <w:vAlign w:val="center"/>
          </w:tcPr>
          <w:p w14:paraId="26D94333">
            <w:pPr>
              <w:ind w:left="108"/>
              <w:rPr>
                <w:rFonts w:ascii="宋体" w:hAnsi="宋体"/>
                <w:b/>
                <w:bCs/>
                <w:sz w:val="24"/>
              </w:rPr>
            </w:pPr>
            <w:r>
              <w:rPr>
                <w:rFonts w:hint="eastAsia" w:ascii="宋体" w:hAnsi="宋体"/>
                <w:b/>
                <w:bCs/>
                <w:sz w:val="24"/>
              </w:rPr>
              <w:t>4</w:t>
            </w:r>
            <w:r>
              <w:rPr>
                <w:rFonts w:ascii="宋体" w:hAnsi="宋体"/>
                <w:b/>
                <w:bCs/>
                <w:sz w:val="24"/>
              </w:rPr>
              <w:t>.</w:t>
            </w:r>
            <w:r>
              <w:rPr>
                <w:rFonts w:hint="eastAsia" w:ascii="宋体" w:hAnsi="宋体"/>
                <w:b/>
                <w:bCs/>
                <w:sz w:val="24"/>
              </w:rPr>
              <w:t>主要参考资料</w:t>
            </w:r>
          </w:p>
        </w:tc>
      </w:tr>
      <w:tr w14:paraId="61987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jc w:val="center"/>
        </w:trPr>
        <w:tc>
          <w:tcPr>
            <w:tcW w:w="9070" w:type="dxa"/>
            <w:gridSpan w:val="5"/>
          </w:tcPr>
          <w:p>
            <w:pPr>
              <w:numPr>
                <w:ilvl w:val="0"/>
                <w:numId w:val="1"/>
              </w:numPr>
              <w:spacing w:before="40" w:after="40" w:line="300" w:lineRule="exact"/>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Ke G, Meng Q, Finley T, et al. LightGBM: A highly efficient gradient boosting decision tree[C]//Advances in Neural Information Processing Systems (NeurIPS 2017). Long Beach: Curran Associates, Inc., 2017, 30: 3146-3154.</w:t>
            </w:r>
          </w:p>
          <w:p>
            <w:pPr>
              <w:numPr>
                <w:ilvl w:val="0"/>
                <w:numId w:val="1"/>
              </w:numPr>
              <w:spacing w:before="40" w:after="40" w:line="300" w:lineRule="exact"/>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Lundberg S M, Lee S I. A unified approach to interpreting model predictions[C]//Advances in Neural Information Processing Systems (NeurIPS 2017). Long Beach: Curran Associates, Inc., 2017, 30: 4765-4774.</w:t>
            </w:r>
          </w:p>
          <w:p>
            <w:pPr>
              <w:numPr>
                <w:ilvl w:val="0"/>
                <w:numId w:val="1"/>
              </w:numPr>
              <w:spacing w:before="40" w:after="40" w:line="300" w:lineRule="exact"/>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Lundberg S M, Erion G, Chen H, et al. From local explanations to global understanding with explainable AI for trees[J]. Nature Machine Intelligence, 2020, 2(1): 56-67. DOI: 10.1038/s42256-019-0138-9.</w:t>
            </w:r>
          </w:p>
          <w:p>
            <w:pPr>
              <w:numPr>
                <w:ilvl w:val="0"/>
                <w:numId w:val="1"/>
              </w:numPr>
              <w:spacing w:before="40" w:after="40" w:line="300" w:lineRule="exact"/>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Gu S, Kelly B, Xiu D. Empirical asset pricing via machine learning[J]. The Review of Financial Studies, 2020, 33(5): 2223-2273. DOI: 10.1093/rfs/hhaa009.</w:t>
            </w:r>
          </w:p>
          <w:p>
            <w:pPr>
              <w:numPr>
                <w:ilvl w:val="0"/>
                <w:numId w:val="1"/>
              </w:numPr>
              <w:spacing w:before="40" w:after="40" w:line="300" w:lineRule="exact"/>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Fama E F, French K R. Common risk factors in the returns on stocks and bonds[J]. Journal of Financial Economics, 1993, 33(1): 3-56. DOI: 10.1016/0304-405X(93)90023-5.</w:t>
            </w:r>
          </w:p>
          <w:p>
            <w:pPr>
              <w:numPr>
                <w:ilvl w:val="0"/>
                <w:numId w:val="1"/>
              </w:numPr>
              <w:spacing w:before="40" w:after="40" w:line="300" w:lineRule="exact"/>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Harvey C R, Liu Y, Zhu H. … and the cross-section of expected returns[J]. The Review of Financial Studies, 2016, 29(1): 5-68. DOI: 10.1093/rfs/hhv059.</w:t>
            </w:r>
          </w:p>
          <w:p>
            <w:pPr>
              <w:numPr>
                <w:ilvl w:val="0"/>
                <w:numId w:val="1"/>
              </w:numPr>
              <w:spacing w:before="40" w:after="40" w:line="300" w:lineRule="exact"/>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Akiba T, Sano S, Yanase T, et al. Optuna: A next-generation hyperparameter optimization framework[C]//Proceedings of the 25th ACM SIGKDD International Conference on Knowledge Discovery &amp; Data Mining. Anchorage: ACM, 2019: 2623-2631. DOI: 10.1145/3292500.3330701.</w:t>
            </w:r>
          </w:p>
          <w:p>
            <w:pPr>
              <w:numPr>
                <w:ilvl w:val="0"/>
                <w:numId w:val="1"/>
              </w:numPr>
              <w:spacing w:before="40" w:after="40" w:line="300" w:lineRule="exact"/>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López de Prado M. Advances in financial machine learning[M]. Hoboken: John Wiley &amp; Sons, 2018.</w:t>
            </w:r>
          </w:p>
          <w:p>
            <w:pPr>
              <w:numPr>
                <w:ilvl w:val="0"/>
                <w:numId w:val="1"/>
              </w:numPr>
              <w:spacing w:before="40" w:after="40" w:line="300" w:lineRule="exact"/>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周志华. 机器学习[M]. 北京: 清华大学出版社, 2016.</w:t>
            </w:r>
          </w:p>
          <w:p>
            <w:pPr>
              <w:numPr>
                <w:ilvl w:val="0"/>
                <w:numId w:val="1"/>
              </w:numPr>
              <w:spacing w:before="40" w:after="40" w:line="300" w:lineRule="exact"/>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顾明, 廖理, 许宪春. 机器学习与中国股票市场选股[J]. 经济研究, 2021, 56(07): 120-136.</w:t>
            </w:r>
          </w:p>
          <w:p>
            <w:pPr>
              <w:numPr>
                <w:ilvl w:val="0"/>
                <w:numId w:val="1"/>
              </w:numPr>
              <w:spacing w:before="40" w:after="40" w:line="300" w:lineRule="exact"/>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姜富伟, 孟令超, 唐国豪. 机器学习与中国股票市场收益预测[J]. 系统工程理论与实践, 2022, 42(05): 1145-1162.</w:t>
            </w:r>
          </w:p>
          <w:p>
            <w:pPr>
              <w:numPr>
                <w:ilvl w:val="0"/>
                <w:numId w:val="1"/>
              </w:numPr>
              <w:spacing w:before="40" w:after="40" w:line="300" w:lineRule="exact"/>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李斌, 邵新月, 李玥阳. 机器学习驱动的基本面量化投资研究[J]. 中国工业经济, 2019(08): 65-83. DOI: 10.19581/j.cnki.ciejournal.2019.08.005.</w:t>
            </w:r>
          </w:p>
          <w:p>
            <w:pPr>
              <w:numPr>
                <w:ilvl w:val="0"/>
                <w:numId w:val="1"/>
              </w:numPr>
              <w:spacing w:before="40" w:after="40" w:line="300" w:lineRule="exact"/>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李斌, 龙真. 中国股票市场可预测性研究: 基于机器学习的视角[J]. 管理科学学报, 2023, 26(10): 138-158.</w:t>
            </w:r>
          </w:p>
          <w:p>
            <w:pPr>
              <w:numPr>
                <w:ilvl w:val="0"/>
                <w:numId w:val="1"/>
              </w:numPr>
              <w:spacing w:before="40" w:after="40" w:line="300" w:lineRule="exact"/>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姜富伟, 马甜, 张宏伟. 高风险低收益? 基于机器学习的动态CAPM模型解释[J]. 管理科学学报, 2021, 24(01): 109-126.</w:t>
            </w:r>
          </w:p>
          <w:p>
            <w:pPr>
              <w:numPr>
                <w:ilvl w:val="0"/>
                <w:numId w:val="1"/>
              </w:numPr>
              <w:spacing w:before="40" w:after="40" w:line="300" w:lineRule="exact"/>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姜富伟, 凃俊, David Rapach, 等. 中国股票市场可预测性的实证研究[J]. 金融研究, 2011(09): 107-121.</w:t>
            </w:r>
          </w:p>
          <w:p>
            <w:pPr>
              <w:numPr>
                <w:ilvl w:val="0"/>
                <w:numId w:val="1"/>
              </w:numPr>
              <w:spacing w:before="40" w:after="40" w:line="300" w:lineRule="exact"/>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姚加权, 冯绪, 王赞钧, 等. 语调、情绪及市场影响: 基于金融情绪词典[J]. 管理科学学报, 2021, 24(05): 26-46.</w:t>
            </w:r>
          </w:p>
          <w:p>
            <w:pPr>
              <w:numPr>
                <w:ilvl w:val="0"/>
                <w:numId w:val="1"/>
              </w:numPr>
              <w:spacing w:before="40" w:after="40" w:line="300" w:lineRule="exact"/>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郑振龙, 孙清泉. 彩票类股票交易行为分析: 来自中国A股市场的证据[J]. 经济研究, 2013, 48(05): 128-140.</w:t>
            </w:r>
          </w:p>
          <w:p>
            <w:pPr>
              <w:numPr>
                <w:ilvl w:val="0"/>
                <w:numId w:val="1"/>
              </w:numPr>
              <w:spacing w:before="40" w:after="40" w:line="300" w:lineRule="exact"/>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陈小悦, 孙爱军. CAPM在中国股市的有效性检验[J]. 北京大学学报(哲学社会科学版), 2000(04): 28-37.</w:t>
            </w:r>
          </w:p>
          <w:p>
            <w:pPr>
              <w:numPr>
                <w:ilvl w:val="0"/>
                <w:numId w:val="1"/>
              </w:numPr>
              <w:spacing w:before="40" w:after="40" w:line="300" w:lineRule="exact"/>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姜富伟, 唐国豪, 马甜. 金融与财务机器学习[M]. 北京: 机械工业出版社, 2024.</w:t>
            </w:r>
          </w:p>
          <w:p>
            <w:pPr>
              <w:numPr>
                <w:ilvl w:val="0"/>
                <w:numId w:val="1"/>
              </w:numPr>
              <w:spacing w:before="40" w:after="40" w:line="300" w:lineRule="exact"/>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杨博理, 贾芳. 量化炼金术: 中低频量化交易策略研发[M]. 北京: 机械工业出版社, 2017.</w:t>
            </w:r>
          </w:p>
          <w:p>
            <w:pPr>
              <w:numPr>
                <w:ilvl w:val="0"/>
                <w:numId w:val="1"/>
              </w:numPr>
              <w:spacing w:before="40" w:after="40" w:line="300" w:lineRule="exact"/>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胡杰. 基于机器学习的股票预测及股票推荐系统的设计与实现[D]. 北京: 北京交通大学, 2020.</w:t>
            </w:r>
          </w:p>
          <w:p>
            <w:pPr>
              <w:numPr>
                <w:ilvl w:val="0"/>
                <w:numId w:val="1"/>
              </w:numPr>
              <w:spacing w:before="40" w:after="40" w:line="300" w:lineRule="exact"/>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曹志. 基于LightGBM算法和投资者情绪的多因子量化选股和择时方案[D]. 长沙: 湖南大学, 2022.</w:t>
            </w:r>
          </w:p>
          <w:p>
            <w:pPr>
              <w:numPr>
                <w:ilvl w:val="0"/>
                <w:numId w:val="1"/>
              </w:numPr>
              <w:spacing w:before="40" w:after="40" w:line="300" w:lineRule="exact"/>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张宇. 基于机器学习的A股多因子量化选股策略实证研究[D]. 北京: 首都经济贸易大学, 2023.</w:t>
            </w:r>
          </w:p>
          <w:p>
            <w:pPr>
              <w:numPr>
                <w:ilvl w:val="0"/>
                <w:numId w:val="1"/>
              </w:numPr>
              <w:spacing w:before="40" w:after="40" w:line="300" w:lineRule="exact"/>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余柏翱. 基于机器学习的多因子量化选股策略研究[D]. 贵阳: 贵州大学, 2025.</w:t>
            </w:r>
          </w:p>
          <w:p>
            <w:pPr>
              <w:numPr>
                <w:ilvl w:val="0"/>
                <w:numId w:val="1"/>
              </w:numPr>
              <w:spacing w:before="40" w:after="40" w:line="300" w:lineRule="exact"/>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文晓婷. 基于LightGBM与XGBoost的ESG多因子选股择时策略实证研究[D]. 北京: 中央民族大学, 2025.</w:t>
            </w:r>
          </w:p>
        </w:tc>
      </w:tr>
      <w:tr w14:paraId="70FB4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070" w:type="dxa"/>
            <w:gridSpan w:val="5"/>
            <w:vAlign w:val="center"/>
          </w:tcPr>
          <w:p w14:paraId="65A908B2">
            <w:pPr>
              <w:ind w:left="108"/>
              <w:rPr>
                <w:rFonts w:ascii="宋体" w:hAnsi="宋体"/>
                <w:color w:val="FF0000"/>
                <w:sz w:val="24"/>
              </w:rPr>
            </w:pPr>
            <w:r>
              <w:rPr>
                <w:rFonts w:hint="eastAsia" w:ascii="宋体" w:hAnsi="宋体"/>
                <w:b/>
                <w:bCs/>
                <w:sz w:val="24"/>
              </w:rPr>
              <w:t>在论文写作期间应遵守的相关规定</w:t>
            </w:r>
          </w:p>
        </w:tc>
      </w:tr>
      <w:tr w14:paraId="2FF74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1" w:hRule="atLeast"/>
          <w:jc w:val="center"/>
        </w:trPr>
        <w:tc>
          <w:tcPr>
            <w:tcW w:w="9070" w:type="dxa"/>
            <w:gridSpan w:val="5"/>
            <w:vAlign w:val="center"/>
          </w:tcPr>
          <w:p w14:paraId="046A7698">
            <w:pPr>
              <w:spacing w:before="156" w:beforeLines="50" w:after="0" w:line="320" w:lineRule="exact"/>
              <w:ind w:left="108" w:firstLine="480" w:firstLineChars="200"/>
              <w:rPr>
                <w:rFonts w:ascii="宋体" w:hAnsi="宋体"/>
                <w:color w:val="000000"/>
                <w:sz w:val="24"/>
              </w:rPr>
            </w:pPr>
            <w:r>
              <w:rPr>
                <w:rFonts w:hint="eastAsia" w:ascii="宋体" w:hAnsi="宋体"/>
                <w:color w:val="000000"/>
                <w:sz w:val="24"/>
              </w:rPr>
              <w:t>1.严格遵守学校的各项规章制度及学生手册中的各项要求，注意安全。</w:t>
            </w:r>
          </w:p>
          <w:p w14:paraId="02F53EBC">
            <w:pPr>
              <w:spacing w:before="156" w:beforeLines="50" w:after="0" w:line="320" w:lineRule="exact"/>
              <w:ind w:left="108" w:firstLine="480" w:firstLineChars="200"/>
              <w:rPr>
                <w:rFonts w:ascii="宋体" w:hAnsi="宋体"/>
                <w:color w:val="000000"/>
                <w:sz w:val="24"/>
              </w:rPr>
            </w:pPr>
            <w:r>
              <w:rPr>
                <w:rFonts w:hint="eastAsia" w:ascii="宋体" w:hAnsi="宋体"/>
                <w:color w:val="000000"/>
                <w:sz w:val="24"/>
              </w:rPr>
              <w:t>2.严格遵守实习单位的各项规章制度，尊重实习单位的指导老师，服从各项工作安排，积极完成工作任务。</w:t>
            </w:r>
          </w:p>
          <w:p w14:paraId="7A3C732C">
            <w:pPr>
              <w:spacing w:before="156" w:beforeLines="50" w:after="0" w:line="320" w:lineRule="exact"/>
              <w:ind w:left="108" w:firstLine="480" w:firstLineChars="200"/>
              <w:rPr>
                <w:rFonts w:ascii="宋体" w:hAnsi="宋体"/>
                <w:color w:val="000000"/>
                <w:sz w:val="24"/>
              </w:rPr>
            </w:pPr>
            <w:r>
              <w:rPr>
                <w:rFonts w:hint="eastAsia" w:ascii="宋体" w:hAnsi="宋体"/>
                <w:color w:val="000000"/>
                <w:sz w:val="24"/>
              </w:rPr>
              <w:t>3.服从论文指导小组的工作进程安排，按时、按质完成论文及相关任务。</w:t>
            </w:r>
          </w:p>
          <w:p w14:paraId="58F0B299">
            <w:pPr>
              <w:spacing w:before="156" w:beforeLines="50" w:after="0" w:line="320" w:lineRule="exact"/>
              <w:ind w:left="108" w:firstLine="480" w:firstLineChars="200"/>
              <w:rPr>
                <w:rFonts w:ascii="宋体" w:hAnsi="宋体"/>
                <w:b/>
                <w:bCs/>
                <w:color w:val="000000"/>
                <w:sz w:val="24"/>
              </w:rPr>
            </w:pPr>
            <w:r>
              <w:rPr>
                <w:rFonts w:hint="eastAsia" w:ascii="宋体" w:hAnsi="宋体"/>
                <w:color w:val="000000"/>
                <w:sz w:val="24"/>
              </w:rPr>
              <w:t>4.注意对相关被调查人、企业的信息保密，不得违反著作法、专利法等相关法律法规，严禁剽窃、抄袭他人研究、著作成果。</w:t>
            </w:r>
          </w:p>
        </w:tc>
      </w:tr>
      <w:tr w14:paraId="7D501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0" w:type="dxa"/>
            <w:gridSpan w:val="2"/>
            <w:vAlign w:val="center"/>
          </w:tcPr>
          <w:p w14:paraId="18CE250E">
            <w:pPr>
              <w:ind w:left="108"/>
              <w:jc w:val="center"/>
              <w:rPr>
                <w:rFonts w:ascii="宋体" w:hAnsi="宋体"/>
                <w:b/>
                <w:bCs/>
                <w:sz w:val="24"/>
              </w:rPr>
            </w:pPr>
            <w:r>
              <w:rPr>
                <w:rFonts w:hint="eastAsia" w:ascii="宋体" w:hAnsi="宋体"/>
                <w:b/>
                <w:sz w:val="24"/>
              </w:rPr>
              <w:t>教研室意见</w:t>
            </w:r>
          </w:p>
        </w:tc>
        <w:tc>
          <w:tcPr>
            <w:tcW w:w="7179" w:type="dxa"/>
            <w:gridSpan w:val="3"/>
            <w:tcBorders>
              <w:bottom w:val="nil"/>
            </w:tcBorders>
          </w:tcPr>
          <w:p w14:paraId="457F1AD7">
            <w:pPr>
              <w:jc w:val="left"/>
              <w:rPr>
                <w:rFonts w:ascii="宋体" w:hAnsi="宋体"/>
                <w:bCs/>
                <w:color w:val="000000"/>
                <w:sz w:val="24"/>
              </w:rPr>
            </w:pPr>
            <w:r/>
            <w:r>
              <w:rPr>
                <w:rFonts w:ascii="Times New Roman" w:hAnsi="Times New Roman" w:eastAsia="宋体"/>
                <w:b w:val="0"/>
                <w:sz w:val="24"/>
              </w:rPr>
              <w:br/>
              <w:br/>
              <w:br/>
              <w:br/>
              <w:t>教研室主任签字：                [待填写]年[待填写]月[待填写]日</w:t>
            </w:r>
          </w:p>
        </w:tc>
      </w:tr>
      <w:tr w14:paraId="52612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0" w:type="dxa"/>
            <w:gridSpan w:val="2"/>
            <w:vAlign w:val="center"/>
          </w:tcPr>
          <w:p w14:paraId="43C8FFD9">
            <w:pPr>
              <w:ind w:left="108"/>
              <w:jc w:val="center"/>
              <w:rPr>
                <w:rFonts w:ascii="宋体" w:hAnsi="宋体"/>
                <w:b/>
                <w:bCs/>
                <w:sz w:val="24"/>
              </w:rPr>
            </w:pPr>
            <w:r>
              <w:rPr>
                <w:rFonts w:hint="eastAsia" w:ascii="宋体" w:hAnsi="宋体"/>
                <w:b/>
                <w:sz w:val="24"/>
              </w:rPr>
              <w:t>学院意见</w:t>
            </w:r>
          </w:p>
        </w:tc>
        <w:tc>
          <w:tcPr>
            <w:tcW w:w="7179" w:type="dxa"/>
            <w:gridSpan w:val="3"/>
            <w:vAlign w:val="center"/>
          </w:tcPr>
          <w:p w14:paraId="6F55B818">
            <w:pPr>
              <w:jc w:val="left"/>
              <w:rPr>
                <w:rFonts w:hint="eastAsia" w:ascii="宋体" w:hAnsi="宋体"/>
                <w:bCs/>
                <w:color w:val="000000"/>
                <w:sz w:val="24"/>
                <w:lang w:val="en-US" w:eastAsia="zh-CN"/>
              </w:rPr>
            </w:pPr>
            <w:r/>
            <w:r>
              <w:rPr>
                <w:rFonts w:ascii="Times New Roman" w:hAnsi="Times New Roman" w:eastAsia="宋体"/>
                <w:b w:val="0"/>
                <w:sz w:val="24"/>
              </w:rPr>
              <w:t xml:space="preserve"> </w:t>
              <w:br/>
              <w:br/>
              <w:br/>
              <w:t>学院领导签字：                [待填写]年[待填写]月[待填写]日</w:t>
            </w:r>
          </w:p>
        </w:tc>
      </w:tr>
      <w:tr w14:paraId="67C9D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0" w:hRule="atLeast"/>
          <w:jc w:val="center"/>
        </w:trPr>
        <w:tc>
          <w:tcPr>
            <w:tcW w:w="9070" w:type="dxa"/>
            <w:gridSpan w:val="2"/>
            <w:vAlign w:val="center"/>
          </w:tcPr>
          <w:p w14:paraId="2635DA67">
            <w:pPr>
              <w:snapToGrid w:val="0"/>
              <w:jc w:val="center"/>
              <w:rPr>
                <w:rFonts w:ascii="宋体" w:hAnsi="宋体"/>
                <w:b/>
                <w:bCs/>
                <w:sz w:val="24"/>
              </w:rPr>
            </w:pPr>
            <w:r>
              <w:rPr>
                <w:rFonts w:hint="eastAsia" w:ascii="宋体" w:hAnsi="宋体"/>
                <w:b/>
                <w:bCs/>
                <w:sz w:val="24"/>
              </w:rPr>
              <w:t>任务书下达时间</w:t>
            </w:r>
          </w:p>
        </w:tc>
        <w:tc>
          <w:tcPr>
            <w:tcW w:w="1994" w:type="dxa"/>
            <w:vAlign w:val="center"/>
          </w:tcPr>
          <w:p w14:paraId="148C5B92">
            <w:pPr>
              <w:ind w:left="108"/>
              <w:jc w:val="center"/>
              <w:rPr>
                <w:rFonts w:ascii="宋体" w:hAnsi="宋体"/>
                <w:b/>
                <w:bCs/>
                <w:sz w:val="24"/>
              </w:rPr>
            </w:pPr>
            <w:r/>
            <w:r>
              <w:rPr>
                <w:rFonts w:ascii="Times New Roman" w:hAnsi="Times New Roman" w:eastAsia="宋体"/>
                <w:b w:val="0"/>
                <w:sz w:val="24"/>
              </w:rPr>
              <w:t>[待填写]年[待填写]月[待填写]日</w:t>
            </w:r>
          </w:p>
        </w:tc>
        <w:tc>
          <w:tcPr>
            <w:tcW w:w="1663" w:type="dxa"/>
            <w:vAlign w:val="center"/>
          </w:tcPr>
          <w:p w14:paraId="490F47E1">
            <w:pPr>
              <w:snapToGrid w:val="0"/>
              <w:jc w:val="center"/>
              <w:rPr>
                <w:rFonts w:ascii="宋体" w:hAnsi="宋体"/>
                <w:b/>
                <w:bCs/>
                <w:sz w:val="24"/>
              </w:rPr>
            </w:pPr>
            <w:r>
              <w:rPr>
                <w:rFonts w:hint="eastAsia" w:ascii="宋体" w:hAnsi="宋体"/>
                <w:b/>
                <w:bCs/>
                <w:sz w:val="24"/>
              </w:rPr>
              <w:t>完成毕业论文时间</w:t>
            </w:r>
          </w:p>
        </w:tc>
        <w:tc>
          <w:tcPr>
            <w:tcW w:w="3522" w:type="dxa"/>
            <w:vAlign w:val="center"/>
          </w:tcPr>
          <w:p w14:paraId="65AB592B">
            <w:pPr>
              <w:jc w:val="center"/>
              <w:rPr>
                <w:rFonts w:ascii="宋体" w:hAnsi="宋体"/>
                <w:b/>
                <w:bCs/>
                <w:sz w:val="24"/>
              </w:rPr>
            </w:pPr>
            <w:r/>
            <w:r>
              <w:rPr>
                <w:rFonts w:ascii="Times New Roman" w:hAnsi="Times New Roman" w:eastAsia="宋体"/>
                <w:b w:val="0"/>
                <w:sz w:val="24"/>
              </w:rPr>
              <w:t xml:space="preserve">  [待填写]年[待填写]月[待填写]日</w:t>
            </w:r>
          </w:p>
        </w:tc>
      </w:tr>
    </w:tbl>
    <w:p w14:paraId="2FDF9CF4">
      <w:pPr>
        <w:rPr>
          <w:sz w:val="24"/>
        </w:rPr>
      </w:pPr>
      <w:r>
        <w:rPr>
          <w:rFonts w:hint="eastAsia"/>
          <w:sz w:val="24"/>
        </w:rPr>
        <w:t>注：任务书由指导教师填写</w:t>
      </w:r>
    </w:p>
    <w:sectPr>
      <w:headerReference r:id="rId10" w:type="first"/>
      <w:headerReference r:id="rId8" w:type="default"/>
      <w:headerReference r:id="rId9" w:type="even"/>
      <w:pgSz w:w="11906" w:h="16838"/>
      <w:pgMar w:top="1440" w:right="1418" w:bottom="1246" w:left="1418" w:header="851" w:footer="992" w:gutter="0"/>
      <w:pgNumType w:fmt="decimal" w:start="1" w:chapSep="hyphen"/>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楷体">
    <w:panose1 w:val="02010600040101010101"/>
    <w:charset w:val="86"/>
    <w:family w:val="auto"/>
    <w:pitch w:val="default"/>
    <w:sig w:usb0="00000287" w:usb1="080F0000" w:usb2="00000000" w:usb3="00000000" w:csb0="0004009F" w:csb1="DFD70000"/>
  </w:font>
  <w:font w:name="Wingdings 2">
    <w:panose1 w:val="05020102010507070707"/>
    <w:charset w:val="00"/>
    <w:family w:val="auto"/>
    <w:pitch w:val="default"/>
    <w:sig w:usb0="00000000" w:usb1="00000000" w:usb2="00000000" w:usb3="00000000" w:csb0="80000000" w:csb1="00000000"/>
  </w:font>
  <w:font w:name="仿宋_GB2312">
    <w:panose1 w:val="02010609030101010101"/>
    <w:charset w:val="86"/>
    <w:family w:val="modern"/>
    <w:pitch w:val="default"/>
    <w:sig w:usb0="00000001" w:usb1="080E0000" w:usb2="0000000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BA48A">
    <w:r>
      <w:pict>
        <v:shape id="_x0000_s4099" o:spid="_x0000_s4099" o:spt="136" type="#_x0000_t136" style="position:absolute;left:0pt;height:100pt;width:500pt;mso-position-horizontal:center;mso-position-horizontal-relative:page;mso-position-vertical:center;mso-position-vertical-relative:page;rotation:-2621440f;z-index:251660288;mso-width-relative:page;mso-height-relative:page;" fillcolor="#FFC0CB" filled="t" stroked="t" coordsize="21600,21600">
          <v:path/>
          <v:fill on="t" focussize="0,0"/>
          <v:stroke color="#FFC0CB"/>
          <v:imagedata o:title=""/>
          <o:lock v:ext="edit"/>
          <v:textpath on="t" fitshape="t" fitpath="t" trim="f" xscale="f" string="桂林旅游学院2023届本科毕业论文（设计）" style="font-family:Arial;font-size:36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19CDD">
    <w:r>
      <w:pict>
        <v:shape id="_x0000_s4097" o:spid="_x0000_s4097" o:spt="136" type="#_x0000_t136" style="position:absolute;left:0pt;height:100pt;width:500pt;mso-position-horizontal:center;mso-position-horizontal-relative:page;mso-position-vertical:center;mso-position-vertical-relative:page;rotation:-2621440f;z-index:251659264;mso-width-relative:page;mso-height-relative:page;" fillcolor="#FFC0CB" filled="t" stroked="t" coordsize="21600,21600">
          <v:path/>
          <v:fill on="t" focussize="0,0"/>
          <v:stroke color="#FFC0CB"/>
          <v:imagedata o:title=""/>
          <o:lock v:ext="edit"/>
          <v:textpath on="t" fitshape="t" fitpath="t" trim="f" xscale="f" string="桂林旅游学院2023届本科毕业论文（设计）" style="font-family:Arial;font-size:36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0389B"/>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9A56C2">
    <w:r>
      <w:pict>
        <v:shape id="_x0000_s4102" o:spid="_x0000_s4102" o:spt="136" type="#_x0000_t136" style="position:absolute;left:0pt;height:100pt;width:500pt;mso-position-horizontal:center;mso-position-horizontal-relative:page;mso-position-vertical:center;mso-position-vertical-relative:page;rotation:-2621440f;z-index:251662336;mso-width-relative:page;mso-height-relative:page;" fillcolor="#FFC0CB" filled="t" stroked="t" coordsize="21600,21600">
          <v:path/>
          <v:fill on="t" focussize="0,0"/>
          <v:stroke color="#FFC0CB"/>
          <v:imagedata o:title=""/>
          <o:lock v:ext="edit"/>
          <v:textpath on="t" fitshape="t" fitpath="t" trim="f" xscale="f" string="桂林旅游学院2023届本科毕业论文（设计）" style="font-family:Arial;font-size:36pt;v-text-align:center;"/>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37CBE">
    <w:r>
      <w:pict>
        <v:shape id="_x0000_s4100" o:spid="_x0000_s4100" o:spt="136" type="#_x0000_t136" style="position:absolute;left:0pt;height:100pt;width:500pt;mso-position-horizontal:center;mso-position-horizontal-relative:page;mso-position-vertical:center;mso-position-vertical-relative:page;rotation:-2621440f;z-index:251661312;mso-width-relative:page;mso-height-relative:page;" fillcolor="#FFC0CB" filled="t" stroked="t" coordsize="21600,21600">
          <v:path/>
          <v:fill on="t" focussize="0,0"/>
          <v:stroke color="#FFC0CB"/>
          <v:imagedata o:title=""/>
          <o:lock v:ext="edit"/>
          <v:textpath on="t" fitshape="t" fitpath="t" trim="f" xscale="f" string="桂林旅游学院2023届本科毕业论文（设计）" style="font-family:Arial;font-size:36pt;v-text-align:center;"/>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B08F3"/>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70011">
    <w:r>
      <w:pict>
        <v:shape id="_x0000_s4105" o:spid="_x0000_s4105" o:spt="136" type="#_x0000_t136" style="position:absolute;left:0pt;height:100pt;width:500pt;mso-position-horizontal:center;mso-position-horizontal-relative:page;mso-position-vertical:center;mso-position-vertical-relative:page;rotation:-2621440f;z-index:251664384;mso-width-relative:page;mso-height-relative:page;" fillcolor="#FFC0CB" filled="t" stroked="t" coordsize="21600,21600">
          <v:path/>
          <v:fill on="t" focussize="0,0"/>
          <v:stroke color="#FFC0CB"/>
          <v:imagedata o:title=""/>
          <o:lock v:ext="edit"/>
          <v:textpath on="t" fitshape="t" fitpath="t" trim="f" xscale="f" string="桂林旅游学院2023届本科毕业论文（设计）" style="font-family:Arial;font-size:36pt;v-text-align:center;"/>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94963">
    <w:r>
      <w:pict>
        <v:shape id="_x0000_s4103" o:spid="_x0000_s4103" o:spt="136" type="#_x0000_t136" style="position:absolute;left:0pt;height:100pt;width:500pt;mso-position-horizontal:center;mso-position-horizontal-relative:page;mso-position-vertical:center;mso-position-vertical-relative:page;rotation:-2621440f;z-index:251663360;mso-width-relative:page;mso-height-relative:page;" fillcolor="#FFC0CB" filled="t" stroked="t" coordsize="21600,21600">
          <v:path/>
          <v:fill on="t" focussize="0,0"/>
          <v:stroke color="#FFC0CB"/>
          <v:imagedata o:title=""/>
          <o:lock v:ext="edit"/>
          <v:textpath on="t" fitshape="t" fitpath="t" trim="f" xscale="f" string="桂林旅游学院2023届本科毕业论文（设计）" style="font-family:Arial;font-size:36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430EB4"/>
    <w:multiLevelType w:val="singleLevel"/>
    <w:tmpl w:val="75430EB4"/>
    <w:lvl w:ilvl="0" w:tentative="0">
      <w:start w:val="1"/>
      <w:numFmt w:val="decimal"/>
      <w:lvlText w:val="[%1]"/>
      <w:lvlJc w:val="left"/>
      <w:pPr>
        <w:tabs>
          <w:tab w:val="left" w:pos="420"/>
        </w:tabs>
        <w:ind w:left="66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0"/>
  <w:drawingGridVerticalSpacing w:val="156"/>
  <w:displayHorizontalDrawingGridEvery w:val="1"/>
  <w:displayVerticalDrawingGridEvery w:val="1"/>
  <w:noPunctuationKerning w:val="1"/>
  <w:characterSpacingControl w:val="compressPunctuation"/>
  <w:doNotValidateAgainstSchema/>
  <w:doNotDemarcateInvalidXml/>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172A27"/>
    <w:rsid w:val="00020F36"/>
    <w:rsid w:val="00034D9E"/>
    <w:rsid w:val="00081D9E"/>
    <w:rsid w:val="00083ECE"/>
    <w:rsid w:val="00134361"/>
    <w:rsid w:val="001642BB"/>
    <w:rsid w:val="00172A27"/>
    <w:rsid w:val="0018394B"/>
    <w:rsid w:val="001B0F62"/>
    <w:rsid w:val="001B355E"/>
    <w:rsid w:val="00241279"/>
    <w:rsid w:val="0025471B"/>
    <w:rsid w:val="00257F33"/>
    <w:rsid w:val="00277FEC"/>
    <w:rsid w:val="002C2F37"/>
    <w:rsid w:val="002E3BB6"/>
    <w:rsid w:val="002F41FC"/>
    <w:rsid w:val="00334D73"/>
    <w:rsid w:val="00356DA5"/>
    <w:rsid w:val="00373FFC"/>
    <w:rsid w:val="00385973"/>
    <w:rsid w:val="004237E2"/>
    <w:rsid w:val="00426A29"/>
    <w:rsid w:val="00447013"/>
    <w:rsid w:val="0045671E"/>
    <w:rsid w:val="0048736B"/>
    <w:rsid w:val="004C3FDA"/>
    <w:rsid w:val="004D21F4"/>
    <w:rsid w:val="004E44C0"/>
    <w:rsid w:val="005257BF"/>
    <w:rsid w:val="0056553A"/>
    <w:rsid w:val="0061754E"/>
    <w:rsid w:val="0063560A"/>
    <w:rsid w:val="00672011"/>
    <w:rsid w:val="00675074"/>
    <w:rsid w:val="00682A58"/>
    <w:rsid w:val="00687B0F"/>
    <w:rsid w:val="0069518F"/>
    <w:rsid w:val="006A677C"/>
    <w:rsid w:val="00733B85"/>
    <w:rsid w:val="00765E44"/>
    <w:rsid w:val="00782778"/>
    <w:rsid w:val="007A420C"/>
    <w:rsid w:val="007B326E"/>
    <w:rsid w:val="007B6D07"/>
    <w:rsid w:val="00830D75"/>
    <w:rsid w:val="008321F8"/>
    <w:rsid w:val="00844B5C"/>
    <w:rsid w:val="00852AC6"/>
    <w:rsid w:val="00881437"/>
    <w:rsid w:val="008B6C3A"/>
    <w:rsid w:val="008C12C8"/>
    <w:rsid w:val="0091197A"/>
    <w:rsid w:val="00926B42"/>
    <w:rsid w:val="009529A3"/>
    <w:rsid w:val="009605F7"/>
    <w:rsid w:val="009C10A3"/>
    <w:rsid w:val="009C2163"/>
    <w:rsid w:val="009C7E96"/>
    <w:rsid w:val="00A02FD2"/>
    <w:rsid w:val="00A07255"/>
    <w:rsid w:val="00A17B2A"/>
    <w:rsid w:val="00A60D3B"/>
    <w:rsid w:val="00A95D58"/>
    <w:rsid w:val="00AE366F"/>
    <w:rsid w:val="00AF14CA"/>
    <w:rsid w:val="00AF7247"/>
    <w:rsid w:val="00B726D9"/>
    <w:rsid w:val="00B77944"/>
    <w:rsid w:val="00BA45FE"/>
    <w:rsid w:val="00BB4A8F"/>
    <w:rsid w:val="00BC5BAB"/>
    <w:rsid w:val="00BD1238"/>
    <w:rsid w:val="00C2552D"/>
    <w:rsid w:val="00C41BCE"/>
    <w:rsid w:val="00CA63B9"/>
    <w:rsid w:val="00CF6212"/>
    <w:rsid w:val="00D04E5F"/>
    <w:rsid w:val="00D57736"/>
    <w:rsid w:val="00D61AD8"/>
    <w:rsid w:val="00DA33CD"/>
    <w:rsid w:val="00E0748F"/>
    <w:rsid w:val="00E36128"/>
    <w:rsid w:val="00E62E49"/>
    <w:rsid w:val="00E81CF4"/>
    <w:rsid w:val="00EF7949"/>
    <w:rsid w:val="00F67D89"/>
    <w:rsid w:val="00FD5945"/>
    <w:rsid w:val="00FE5DEB"/>
    <w:rsid w:val="02A318E0"/>
    <w:rsid w:val="05371F2E"/>
    <w:rsid w:val="09600E19"/>
    <w:rsid w:val="09CE48A6"/>
    <w:rsid w:val="0B18195D"/>
    <w:rsid w:val="0EA55D13"/>
    <w:rsid w:val="1F6C4413"/>
    <w:rsid w:val="20371AE7"/>
    <w:rsid w:val="24E86A18"/>
    <w:rsid w:val="287D5100"/>
    <w:rsid w:val="288D3427"/>
    <w:rsid w:val="2C7B5048"/>
    <w:rsid w:val="2DCD3BF8"/>
    <w:rsid w:val="2F03482A"/>
    <w:rsid w:val="311C1727"/>
    <w:rsid w:val="3326742B"/>
    <w:rsid w:val="336C559A"/>
    <w:rsid w:val="37120013"/>
    <w:rsid w:val="37DB2A3A"/>
    <w:rsid w:val="37E057C6"/>
    <w:rsid w:val="3938061C"/>
    <w:rsid w:val="3D011321"/>
    <w:rsid w:val="51283774"/>
    <w:rsid w:val="67E31F97"/>
    <w:rsid w:val="723733CB"/>
    <w:rsid w:val="723D2CFA"/>
    <w:rsid w:val="74BE1A2B"/>
    <w:rsid w:val="75C41F93"/>
    <w:rsid w:val="7784214D"/>
    <w:rsid w:val="7D401FE8"/>
    <w:rsid w:val="7F9235F9"/>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qFormat/>
    <w:uiPriority w:val="0"/>
    <w:pPr>
      <w:keepNext/>
      <w:keepLines/>
      <w:tabs>
        <w:tab w:val="left" w:pos="377"/>
      </w:tabs>
      <w:spacing w:before="50" w:beforeLines="50" w:after="0" w:line="360" w:lineRule="auto"/>
      <w:outlineLvl w:val="2"/>
    </w:pPr>
    <w:rPr>
      <w:rFonts w:ascii="Times New Roman" w:hAnsi="Times New Roman" w:eastAsia="黑体"/>
      <w:bCs/>
      <w:szCs w:val="32"/>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ody Text"/>
    <w:basedOn w:val="1"/>
    <w:uiPriority w:val="0"/>
    <w:rPr>
      <w:sz w:val="28"/>
      <w:szCs w:val="2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rPr>
      <w:sz w:val="24"/>
    </w:rPr>
  </w:style>
  <w:style w:type="table" w:styleId="8">
    <w:name w:val="Table Grid"/>
    <w:basedOn w:val="7"/>
    <w:qFormat/>
    <w:uiPriority w:val="0"/>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page number"/>
    <w:qFormat/>
    <w:uiPriority w:val="0"/>
  </w:style>
  <w:style w:type="character" w:styleId="12">
    <w:name w:val="Hyperlink"/>
    <w:qFormat/>
    <w:uiPriority w:val="0"/>
    <w:rPr>
      <w:color w:val="0000FF"/>
      <w:u w:val="single"/>
    </w:rPr>
  </w:style>
  <w:style w:type="character" w:customStyle="1" w:styleId="13">
    <w:name w:val="页眉 字符"/>
    <w:link w:val="5"/>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7.xml"/><Relationship Id="rId8" Type="http://schemas.openxmlformats.org/officeDocument/2006/relationships/header" Target="header6.xml"/><Relationship Id="rId7" Type="http://schemas.openxmlformats.org/officeDocument/2006/relationships/header" Target="header5.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header" Target="header8.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099"/>
    <customShpInfo spid="_x0000_s4097"/>
    <customShpInfo spid="_x0000_s4102"/>
    <customShpInfo spid="_x0000_s4100"/>
    <customShpInfo spid="_x0000_s4105"/>
    <customShpInfo spid="_x0000_s410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ecjtuit</Company>
  <Pages>7</Pages>
  <Words>263</Words>
  <Characters>1503</Characters>
  <Lines>12</Lines>
  <Paragraphs>3</Paragraphs>
  <TotalTime>9</TotalTime>
  <ScaleCrop>false</ScaleCrop>
  <LinksUpToDate>false</LinksUpToDate>
  <CharactersWithSpaces>1763</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2021-10-14T02:18:00Z</dcterms:created>
  <dc:creator>lf</dc:creator>
  <cp:lastModifiedBy>刘尧</cp:lastModifiedBy>
  <dcterms:modified xsi:type="dcterms:W3CDTF">2026-10-18T10:10:48Z</dcterms:modified>
  <dc:title>附件2</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322283618DB44F53B3D463067497DBF6</vt:lpwstr>
  </property>
  <property fmtid="{D5CDD505-2E9C-101B-9397-08002B2CF9AE}" pid="5" name="KSOProductBuildVer">
    <vt:lpwstr>2052-12.8.2.17149</vt:lpwstr>
  </property>
</Properties>
</file>