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微软雅黑" w:hAnsi="微软雅黑" w:eastAsia="微软雅黑"/>
          <w:b/>
          <w:color w:val="0F172A"/>
          <w:sz w:val="42"/>
        </w:rPr>
        <w:t>基于 LightGBM 与特征归因的股票推荐系统</w:t>
      </w:r>
    </w:p>
    <w:p>
      <w:pPr>
        <w:spacing w:after="480"/>
        <w:jc w:val="center"/>
      </w:pPr>
      <w:r>
        <w:rPr>
          <w:rFonts w:ascii="微软雅黑" w:hAnsi="微软雅黑" w:eastAsia="微软雅黑"/>
          <w:color w:val="1D4ED8"/>
          <w:sz w:val="26"/>
        </w:rPr>
        <w:t>实验结果与分析 · 论文写作参考资料</w:t>
      </w:r>
    </w:p>
    <w:p>
      <w:pPr>
        <w:spacing w:after="600"/>
        <w:jc w:val="center"/>
      </w:pPr>
      <w:r>
        <w:rPr>
          <w:rFonts w:ascii="微软雅黑" w:hAnsi="微软雅黑" w:eastAsia="微软雅黑"/>
          <w:color w:val="64748B"/>
          <w:sz w:val="18"/>
        </w:rPr>
        <w:t>建模范畴：沪深300 成分股　|　样本区间：2015-01 至 2026-10</w:t>
        <w:br/>
        <w:t>生成时间：2026-10-22 12:27　|　全部数值取自项目实际运行产物</w:t>
      </w: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一、核心结论摘要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一句话结论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本系统在沪深300 成分股上完成了从因子筛选、模型训练到组合回测的完整流程，但业绩归因显示：策略收益的约 74% 可由市场收益解释，Jensen alpha 在统计上不显著（年化 2.99%，p = 0.1904）。系统的主要收益来源是承担了高于市场的系统性风险（beta = 1.1424），而非独立的选股能力。这一结果与 A 股半强式有效的判断一致。</w:t>
            </w:r>
          </w:p>
        </w:tc>
      </w:tr>
    </w:tbl>
    <w:p>
      <w:pPr>
        <w:spacing w:after="8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项目最终形成的四条实证结论，建议论文按此结构组织分析章节：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分析层次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关键证据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因子有效性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技术类因子显著，基本面因子无增量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最强因子 |t| = 5.58；加基本面后 AUC 单调下降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模型预测力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微弱但存在，且不稳定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滚动 AUC 均值 0.5095，38.5% 的窗口低于随机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组合收益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扣除成本后有正超额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滚动超额年化 +4.79%，正超额窗口 61.5%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业绩归因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超额来自 beta 而非 alpha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β = 1.1424 显著 &gt; 1，α 年化 2.99% 但不显著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二、实验设置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2.1 数据与样本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建模股票池锁定为沪深300 成分股。该选择的原因是：早前 40 只样本分摊到 6 个行业，平均每组 6.4 只，34.4% 的股票在自己的行业组内是唯一一只，导致行业中性化退化为「减去自身」、把因子抹成 0。沪深300 行业分布完整，是解决该问题的直接方式，也是 A 股量化研究的标准基准池。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成分股数量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300 只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交易截面数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2856 个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面板样本量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744,372 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样本区间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2015-01-16 至 2026-10-21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标签口径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未来 5 日收益是否跑赢当日截面均值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2.2 防泄漏设计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量化研究中前视偏差是最容易犯也最致命的错误。本项目在四个环节做了显式防护：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风险点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处理方式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bfill 把未来值回填到过去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特征清洗只用 ffill，缺失值用该股票自身历史中位数填补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财报数据使用未公开信息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按法定披露截止日做保守滞后（Q1→4/30，年报→次年4/30）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调参后在全量数据上 refit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最终模型只用训练集拟合，验证集不参与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早停在第 1 轮终止致模型退化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改用固定轮数，由 Optuna 在训练集内部交叉验证选定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2.3 模型与超参数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采用 LightGBM 二分类模型，超参数由 Optuna 贝叶斯优化在训练集内部用 TimeSeriesSplit 交叉验证搜索得到。最终参数如下：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n_estimators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332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num_leaves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learning_rate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0.017792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subsample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0.9367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max_depth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colsample_bytree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0.7352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reg_alpha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0.046266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reg_lambda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0.0002203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三、因子有效性检验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因子是否能进入模型，不凭经验判断，而是由截面 IC 与 t 值决定。对每个因子逐交易日计算因子值与未来 5 日收益的 Spearman 秩相关，再跨截面汇总：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IC：每个截面的秩相关，跨截面取均值，衡量横截面区分能力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t 值：ICIR × √截面数，|t| ≥ 2 视为统计显著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入选标准：|IC| ≥ 0.015 且 |t| ≥ 2.0，再经相关性去冗余（|r| &gt; 0.7 剔除）</w:t>
      </w:r>
    </w:p>
    <w:p>
      <w:pPr>
        <w:spacing w:after="40" w:line="348" w:lineRule="auto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因子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IC 均值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ICIR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 值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ATR_ratio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-0.0221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-0.079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-4.22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入选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MACD_norm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-0.0210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-0.096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-5.11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入选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EMA20_ratio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-0.0206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-0.100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-5.32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momentum_20d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量价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-0.0201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-0.096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-5.14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momentum_60d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量价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-0.0183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-0.084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-4.47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入选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volatility_20d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量价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-0.0183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-0.070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-3.77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OBV_zscore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-0.0176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-0.104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-5.58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入选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ma_gap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-0.0154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-0.075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-4.02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RSI14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-0.0128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-0.064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-3.39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pe_ttm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基本面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-0.0116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-0.051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-2.70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pb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基本面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-0.0101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-0.038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-2.03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roe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基本面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0.0095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0.057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3.02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pct_chg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-0.0094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-0.049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-2.64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ADX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0.0078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0.056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2.97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actor_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748B"/>
          <w:sz w:val="18"/>
        </w:rPr>
        <w:t>图 1　因子有效性检验：截面 IC 与 t 值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3.1 关键发现：基本面因子未提供增量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 40 只小样本阶段，基本面因子（ROE、PB）曾表现出更强的 IC；但在沪深300 的 300 只大样本上，结论反转。做 A/B 对比（同一模型、仅改变输入因子）：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因子组合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测试集 AUC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纯技术因子（去冗余后 4 个）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0.5179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 + ROE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0.5165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 + 估值（PE/PB）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0.5151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 + 基本面 3 个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0.5147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技术 + 基本面 5 个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0.5149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1"/>
              </w:rPr>
              <w:t>写作提示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这是一个可主动讨论的点：小样本时基本面因子看似更优，是因为行业分组稀疏导致中性化失效产生假象。样本扩大后结论反转，说明样本量对因子检验结论影响很大。建议在论文中作为「样本敏感性」的分析内容。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四、模型预测能力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4.1 时序切分结果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数据集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AUC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准确率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样本数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截面数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正样本率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train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0.5652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0.5658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489,335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1999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0.4399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val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0.4978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0.5313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126,872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428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0.4674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test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0.5132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0.5554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128,165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429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0.4436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1"/>
              </w:rPr>
              <w:t>必须如实说明的问题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验证集 AUC（0.4978）低于 0.5，训练集与测试集差距明显。经诊断，这不是代码缺陷：预测分布稳定（训练均值 0.4399 / 验证 0.4674）、标签分布一致，滚动窗口均值 0.5095。验证集偏低是切分点恰好落在信号较弱的市场状态。单次切分结果不应单独作为结论依据。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4.2 基线对比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NDCG@5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Precision@5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AUC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Random Guess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0.4215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0.4247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0.5000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Logistic Regression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0.4770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0.4769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0.5081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Random Forest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0.4769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0.4802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0.5173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LightGBM (Ours)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0.4701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0.4648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0.5132</w:t>
            </w:r>
          </w:p>
        </w:tc>
      </w:tr>
    </w:tbl>
    <w:p>
      <w:pPr>
        <w:spacing w:after="80"/>
      </w:pP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LightGBM 在 NDCG@5 与 Precision@5 上并非最优，AUC 也略低于随机森林。论文中不应宣称本文方法显著优于基线——差距在统计上不可区分。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4.3 滚动窗口验证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单次三段切分的结果依赖切分点所处市场状态。为得到更可靠的估计，采用滚动窗口：每个窗口用此前全部历史训练、随后 120 个交易日检验，共 13 个窗口。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统计量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窗口数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步长 120 个交易日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AUC 均值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0.5095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长期水平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AUC 中位数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0.5085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剔除极端窗口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AUC 标准差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0.0165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越小越稳定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AUC 区间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0.4788 ~ 0.5283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最差与最好窗口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低于随机的窗口占比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38.5%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衡量失效风险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截面 AUC 均值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0.5103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剔除跨期漂移的选股能力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alk_forward_a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748B"/>
          <w:sz w:val="18"/>
        </w:rPr>
        <w:t>图 2　滚动窗口 AUC 分布（红点为低于随机基线的窗口）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4.4 因子跨窗口稳定性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因子的方向是否在时间上稳定，比全样本 IC 是否显著更重要。统计各因子在 13 个窗口中的符号翻转次数与显著窗口数：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因子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IC 均值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IC 标准差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IC&gt;0 占比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符号翻转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显著窗口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ATR_ratio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-0.0214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0.0376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38.5%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 / 13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MACD_norm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-0.0138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0.0205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30.8%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/ 13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momentum_60d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-0.0121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0.0228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30.8%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/ 13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OBV_zscore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-0.0114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0.0227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38.5%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 / 13</w:t>
            </w:r>
          </w:p>
        </w:tc>
      </w:tr>
    </w:tbl>
    <w:p>
      <w:pPr>
        <w:spacing w:after="80"/>
      </w:pP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四个入选因子平均有 5 至 6 次符号翻转，MACD 与动量因子仅 2/13 个窗口显著。这说明技术指标的方向性在时间上并不可靠——即使全样本 IC 显著，也不宜重仓依赖。</w:t>
      </w: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五、组合回测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5.1 两种选股口径对比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在同一模型打分下比较两种持仓构建方式。行业中性指每个行业内按打分取 Top-N 后合并，用于限制单一行业暴露；行业样本不足 5 只时并入剩余池补位。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年化收益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夏普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最大回撤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超额年化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换手率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全市场排序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29.37%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0.9015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-70.91%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15.51%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39.09%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行业中性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19.28%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0.9620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-57.03%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5.11%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47.20%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基准（等权全样本）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13.86%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1.0024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-50.57%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行业中性把最大回撤从约 −71% 压到约 −57%，夏普提升，但超额年化明显下降。这是一个风险—收益取舍，而非单纯的性能提升，论文中应同时报告两种口径并说明选择依据。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5.2 滚动回测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单次回测同样依赖市场状态。采用与滚动验证一致的窗口切分，每个窗口用自身训练的模型打分并回测，再把各段收益拼接为连续净值：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统计量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超额年化 均值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5.57%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超额年化 中位数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3.78%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超额年化 标准差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13.45%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正超额窗口占比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61.5%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窗口策略年化区间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-40.23% ~ 90.07%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最差窗口回撤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-77.27%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拼接净值指标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策略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基准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超额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年化收益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22.49%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17.44%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4.79%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年化波动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25.16%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18.95%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夏普比率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0.9286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0.9415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0.4216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最大回撤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-77.88%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-67.39%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交易周期数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1547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1547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nav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748B"/>
          <w:sz w:val="18"/>
        </w:rPr>
        <w:t>图 3　滚动拼接净值：策略与基准对比（纵轴为对数刻度）</w:t>
      </w: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六、业绩归因（本文核心分析）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为什么必须做这一步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回测报出的「超额年化」回答不了最要紧的问题：这个超额来自选股能力（alpha），还是仅仅因为承担了更多市场风险（beta）？若不拆开，把 beta 暴露带来的收益记成「模型有效」，是典型的业绩归因错误。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6.1 回归结果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对拼接净值做 OLS 回归：r_策略 = α + β · r_基准 + ε，共 1547 个交易周期。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估计值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标准误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 值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 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Alpha（每期）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0.000623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0.000476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1.310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0.1904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无法拒绝 α=0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Alpha（年化）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2.99%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置信区间 -1.48% ~ 7.46%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Beta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1.1424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0.0172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8.26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显著大于 1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R²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0.7398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约 74% 收益由市场解释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6.2 分市场状态表现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按基准收益五等分，观察策略超额是否随市场方向变化。若下跌市跑输、上涨市跑赢，说明超额来自 beta 敞口而非选股。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市场状态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周期数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基准收益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策略收益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超额收益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最差 20%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310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-2.95%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-3.19%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-0.24%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较差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-0.85%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-1.05%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-0.19%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0.28%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0.41%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0.13%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较好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309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1.44%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1.87%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0.43%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最好 20%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310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3.94%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4.39%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0.45%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ime_ex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748B"/>
          <w:sz w:val="18"/>
        </w:rPr>
        <w:t>图 4　分市场状态的策略与基准收益对比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超额收益随市场涨跌严格单调：下跌市为负、上涨市为正。这一形态直接表明，超额的本质是 beta 敞口的副产品，而非独立于市场的选股能力。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6.3 Beta 中性化对照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把策略收益减去 β × 基准收益，剩下的即为纯选股部分。这是选股能力的乐观上界——即使假设可以无成本对冲市场风险：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年化收益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2.20%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年化波动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12.84%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夏普比率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0.2329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最大回撤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-66.81%</w:t>
            </w:r>
          </w:p>
        </w:tc>
      </w:tr>
    </w:tbl>
    <w:p>
      <w:pPr>
        <w:spacing w:after="80"/>
      </w:pP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6.4 结论表述</w:t>
      </w:r>
    </w:p>
    <w:p>
      <w:pPr>
        <w:spacing w:after="100" w:line="348" w:lineRule="auto"/>
      </w:pPr>
      <w:r>
        <w:rPr>
          <w:rFonts w:ascii="微软雅黑" w:hAnsi="微软雅黑" w:eastAsia="微软雅黑"/>
          <w:b/>
          <w:sz w:val="21"/>
        </w:rPr>
        <w:t>以下表述经过统计检验核对，可直接引用：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策略 beta = 1.1424，显著大于 1（p = 0.0000），说明策略承担了高于市场的系统性风险。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回归 R² = 0.7398，即策略收益中约 74.0% 可由市场收益解释。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Jensen alpha 年化 2.99%，但在统计上无法拒绝 alpha = 0（t = 1.31，p = 0.1904，95% 置信区间 [-1.48%, 7.46%]）。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相对基准的超额收益均值显著异于 0（t = 2.39，p = 0.0168），跟踪误差年化 13.12%，信息比率 IR = 0.4216。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若完全对冲市场风险（beta 中性），策略年化仅 2.20%、夏普 0.2329、最大回撤 -66.81%，说明策略的主要收益来源是市场暴露而非选股。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分市场状态看，超额收益随市场涨跌单调变化——上涨时跑赢、下跌时跑输，这进一步确认超额来自 beta 敞口，而非独立的选股能力。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B45309"/>
                <w:sz w:val="21"/>
              </w:rPr>
              <w:t>两个容易混淆的结论需分开写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其一，相对基准的超额收益均值显著异于 0（t = 2.39，p = 0.0168，信息比率 0.4216）；其二，Jensen alpha 在统计上不显著（p = 0.1904）。二者并不矛盾——超额确实存在，但其来源是 beta 敞口（β = 1.1424 &gt; 1），而不是独立于市场的选股能力。论文中若只报前者而回避后者，属于业绩归因错误。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七、特征归因的可信度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TreeSHAP 的结论只有在满足加和一致性时才可信。对 200 个测试样本校验：Σ SHAP + base_value 是否等于模型原始输出（log-odds 空间）。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校验项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log_odds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最大绝对误差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0.000000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平均绝对误差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0.000000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容差阈值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0.0010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结论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</w:tbl>
    <w:p>
      <w:pPr>
        <w:spacing w:after="80"/>
      </w:pP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全局特征重要性（Mean |SHAP|）如下：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排名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特征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Mean |SHAP|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重要性占比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ATR_ratio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0.0309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32.2%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MACD_norm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0.0278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29.0%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momentum_60d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0.0200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20.8%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OBV_zscore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0.0172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18.0%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4748B"/>
          <w:sz w:val="18"/>
        </w:rPr>
        <w:t>图 5　全局特征重要性（Mean |SHAP|）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解读要点</w:t>
            </w:r>
          </w:p>
          <w:p>
            <w:pPr>
              <w:spacing w:after="80" w:line="336" w:lineRule="auto"/>
            </w:pPr>
            <w:r>
              <w:rPr>
                <w:rFonts w:ascii="微软雅黑" w:hAnsi="微软雅黑" w:eastAsia="微软雅黑"/>
                <w:sz w:val="20"/>
              </w:rPr>
              <w:t>Mean |SHAP| 衡量的是「影响幅度」而非「影响方向」。数值大只说明该特征改变了模型输出，不代表它推高或拉低预测。方向性需在个股局部归因中查看。另外，若某特征排名靠前但缺乏经济学解释，论文中应讨论其是否为伪因子。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八、已知局限与写作建议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8.1 需要如实交代的局限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模型预测力微弱：滚动 AUC 均值 0.5095，38.5% 的窗口低于随机猜测。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alpha 不显著：年化 2.99%，p = 0.1904，95% 置信区间跨越零。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回撤过大：拼接净值最大回撤约 −78%，且与市场同步（基准同期 −67%）。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夏普未超越基准：策略 0.9286 略低于基准 0.9415，风险调整后未胜出。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因子方向不稳定：四个入选因子在 13 个窗口中平均翻转 5 至 6 次。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行业分类覆盖不全：沪深300 中 88 只标的在现有数据源查不到行业，标记为未分类并不参与组内选股。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超参数敏感：同一流程重复运行，指标存在明显波动，说明结果对 Optuna 搜索路径敏感。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8.2 建议的论文叙事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本项目最有价值之处，不是「做出了能赚钱的模型」，而是用完整证据链说明了为什么简单的机器学习选股难以产生真实 alpha：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因子层面：技术指标对 5 日超额收益的 IC 仅 0.02 量级，方向在时间上不稳定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模型层面：AUC 约 0.51，超过三分之一的测试窗口失效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归因层面：剥离市场影响后 alpha 不显著，收益主要来自 beta 暴露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三者互相印证，共同指向 A 股半强式有效的判断。这比堆砌漂亮但站不住的数字更经得起答辩追问。</w:t>
      </w:r>
    </w:p>
    <w:p>
      <w:pPr>
        <w:spacing w:before="220" w:after="140"/>
      </w:pPr>
      <w:r>
        <w:rPr>
          <w:rFonts w:ascii="微软雅黑" w:hAnsi="微软雅黑" w:eastAsia="微软雅黑"/>
          <w:b/>
          <w:color w:val="1D4ED8"/>
          <w:sz w:val="25"/>
        </w:rPr>
        <w:t>8.3 图附表索引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建议放置章节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 1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因子有效性检验（IC 与 t 值）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第三章 因子分析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 2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滚动窗口 AUC 分布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第四章 模型评价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 3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滚动拼接净值曲线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第五章 组合回测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 4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分市场状态的策略与基准收益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第六章 业绩归因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 5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全局特征重要性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第七章 归因可信度</w:t>
            </w:r>
          </w:p>
        </w:tc>
      </w:tr>
    </w:tbl>
    <w:p>
      <w:pPr>
        <w:spacing w:after="80"/>
      </w:pPr>
    </w:p>
    <w:p>
      <w:pPr>
        <w:spacing w:before="320" w:after="140"/>
      </w:pPr>
      <w:r>
        <w:rPr>
          <w:rFonts w:ascii="微软雅黑" w:hAnsi="微软雅黑" w:eastAsia="微软雅黑"/>
          <w:b/>
          <w:color w:val="0F172A"/>
          <w:sz w:val="30"/>
        </w:rPr>
        <w:t>附录：复现方式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本文档全部数值可由以下命令重新生成，产物位于 saved_models/：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0"/>
        </w:rPr>
        <w:t>python -m ml_pipeline.run_training --trials 20 --k 10</w:t>
      </w:r>
    </w:p>
    <w:p>
      <w:pPr>
        <w:spacing w:after="80" w:line="348" w:lineRule="auto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产物文件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factor_diagnosis.json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因子有效性检验结果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selected_factors.json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入选因子（模型实际口径）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evaluation_metrics.json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基线对比指标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backtest_comparison.json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全市场 vs 行业中性回测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walk_forward.json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滚动窗口验证与滚动回测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attribution.json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Alpha / Beta 业绩归因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shap_additivity.json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归因加和一致性校验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training_report.json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训练与实验汇总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