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0653C" w14:textId="77777777" w:rsidR="003C64C8" w:rsidRPr="009A1B6B" w:rsidRDefault="003C64C8" w:rsidP="00C13482">
      <w:pPr>
        <w:widowControl w:val="0"/>
        <w:autoSpaceDE w:val="0"/>
        <w:autoSpaceDN w:val="0"/>
        <w:spacing w:after="0"/>
        <w:ind w:left="402"/>
        <w:rPr>
          <w:rFonts w:cs="Times New Roman"/>
          <w:b/>
          <w:sz w:val="48"/>
          <w:szCs w:val="48"/>
          <w:lang w:eastAsia="es-PE" w:bidi="es-PE"/>
        </w:rPr>
      </w:pPr>
      <w:r>
        <w:rPr>
          <w:rFonts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11670BDA" wp14:editId="393E6624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00788B90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 xml:space="preserve">UNIVERSIDAD MARIANO 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2B8EC1D8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>GÁLVEZ DE GUATEMALA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1EAF4D98" w14:textId="77777777" w:rsidR="003C64C8" w:rsidRPr="00900852" w:rsidRDefault="003C64C8" w:rsidP="00C13482">
      <w:pPr>
        <w:widowControl w:val="0"/>
        <w:autoSpaceDE w:val="0"/>
        <w:autoSpaceDN w:val="0"/>
        <w:spacing w:after="0" w:line="360" w:lineRule="auto"/>
        <w:rPr>
          <w:rFonts w:cs="Times New Roman"/>
          <w:b/>
          <w:lang w:val="es-GT" w:eastAsia="es-PE" w:bidi="es-PE"/>
        </w:rPr>
      </w:pPr>
    </w:p>
    <w:p w14:paraId="46408231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</w:p>
    <w:p w14:paraId="33CF7C50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FACULTAD DE INGENIERÍA EN SISTEMAS DE INFORMACIÓN</w:t>
      </w:r>
    </w:p>
    <w:p w14:paraId="39E0D770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1B5BD61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42EF5F9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MAESTRÍA EN SEGURIDAD INFORMÁTICA</w:t>
      </w:r>
    </w:p>
    <w:p w14:paraId="089F3318" w14:textId="77777777" w:rsidR="003C64C8" w:rsidRPr="00900852" w:rsidRDefault="003C64C8" w:rsidP="00C13482">
      <w:pPr>
        <w:spacing w:after="5" w:line="248" w:lineRule="auto"/>
        <w:ind w:left="1911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5E77DDD5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7862479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3032059B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TAREA 2 - MODELO DE AMENAZAS</w:t>
      </w:r>
    </w:p>
    <w:p w14:paraId="0A0DE860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52984EEA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8184F02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179BDE10" w14:textId="77777777" w:rsidR="003C64C8" w:rsidRPr="00900852" w:rsidRDefault="003C64C8" w:rsidP="00C13482">
      <w:pPr>
        <w:spacing w:after="0"/>
        <w:ind w:left="10" w:right="41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Modelo de amenazas de ParaBank con OWASP Threat Dragon</w:t>
      </w:r>
    </w:p>
    <w:p w14:paraId="51A2D996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F823E29" w14:textId="77777777" w:rsidR="003C64C8" w:rsidRPr="00900852" w:rsidRDefault="003C64C8" w:rsidP="00C13482">
      <w:pPr>
        <w:spacing w:after="26"/>
        <w:rPr>
          <w:rFonts w:cs="Times New Roman"/>
          <w:color w:val="000000"/>
          <w:lang w:val="es-GT" w:eastAsia="es-PE"/>
        </w:rPr>
      </w:pPr>
    </w:p>
    <w:p w14:paraId="72978F98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Autor (es): </w:t>
      </w:r>
    </w:p>
    <w:p w14:paraId="3B6CBF38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>Gerbert David García Loaiza - ggarcial17@miumg.edu.gt</w:t>
      </w:r>
    </w:p>
    <w:p w14:paraId="55F08AB4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>Carné: 1293-21-11608</w:t>
      </w:r>
    </w:p>
    <w:p w14:paraId="0806008C" w14:textId="77777777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94FB693" w14:textId="77777777" w:rsidR="003C64C8" w:rsidRPr="00900852" w:rsidRDefault="003C64C8" w:rsidP="00C13482">
      <w:pPr>
        <w:spacing w:after="0"/>
        <w:ind w:left="10" w:right="34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Profesor </w:t>
      </w:r>
    </w:p>
    <w:p w14:paraId="321C1CB0" w14:textId="77777777" w:rsidR="003C64C8" w:rsidRPr="00900852" w:rsidRDefault="003C64C8" w:rsidP="00C13482">
      <w:pPr>
        <w:spacing w:after="0"/>
        <w:ind w:left="10" w:right="33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>Ing. Mario Roberto López Sajquin</w:t>
      </w:r>
    </w:p>
    <w:p w14:paraId="7B856C5E" w14:textId="77777777" w:rsidR="003C64C8" w:rsidRPr="00900852" w:rsidRDefault="003C64C8" w:rsidP="00C13482">
      <w:pPr>
        <w:spacing w:after="5" w:line="248" w:lineRule="auto"/>
        <w:ind w:left="1236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 </w:t>
      </w:r>
    </w:p>
    <w:p w14:paraId="489B4995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862C7A7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</w:p>
    <w:p w14:paraId="50920212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Curso</w:t>
      </w:r>
    </w:p>
    <w:p w14:paraId="0C66536B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SEGURIDAD EN APLICACIONES - 42026-1293-013-E</w:t>
      </w:r>
    </w:p>
    <w:p w14:paraId="4C9AF268" w14:textId="77777777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F526502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6F9E6C7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7C172D3E" w14:textId="77777777" w:rsidR="003C64C8" w:rsidRPr="00900852" w:rsidRDefault="003C64C8" w:rsidP="00C13482">
      <w:pPr>
        <w:spacing w:after="0"/>
        <w:ind w:left="10" w:right="37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>Guatemala, octubre de 2026</w:t>
      </w:r>
    </w:p>
    <w:p w14:paraId="202F9245" w14:textId="77777777" w:rsidR="003C64C8" w:rsidRPr="00900852" w:rsidRDefault="003C64C8" w:rsidP="00C13482">
      <w:pPr>
        <w:spacing w:after="5" w:line="248" w:lineRule="auto"/>
        <w:ind w:left="1268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5C0B2686" w14:textId="77777777" w:rsidR="005F209D" w:rsidRPr="00900852" w:rsidRDefault="003C64C8">
      <w:pPr>
        <w:jc w:val="center"/>
        <w:rPr>
          <w:lang w:val="es-GT"/>
        </w:rPr>
      </w:pPr>
      <w:r w:rsidRPr="00900852">
        <w:rPr>
          <w:b/>
          <w:lang w:val="es-GT"/>
        </w:rPr>
        <w:lastRenderedPageBreak/>
        <w:t>Tabla de Contenido</w:t>
      </w:r>
    </w:p>
    <w:p w14:paraId="32D1CB21" w14:textId="6C3E417E" w:rsidR="0055664B" w:rsidRDefault="0000000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900101" w:history="1">
        <w:r>
          <w:rPr>
            <w:rStyle w:val="Hipervnculo"/>
            <w:b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56A92C5" w14:textId="61AA4601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02" w:history="1">
        <w:r>
          <w:rPr>
            <w:rStyle w:val="Hipervnculo"/>
            <w:b/>
            <w:noProof/>
          </w:rPr>
          <w:t>1. Alcance, fuentes y 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8D6AFA" w14:textId="75755F1D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03" w:history="1">
        <w:r>
          <w:rPr>
            <w:rStyle w:val="Hipervnculo"/>
            <w:b/>
            <w:noProof/>
          </w:rPr>
          <w:t>2. Levantamiento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4DE9BD" w14:textId="33A439E8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4" w:history="1">
        <w:r>
          <w:rPr>
            <w:rStyle w:val="Hipervnculo"/>
            <w:noProof/>
          </w:rPr>
          <w:t>2.1 Inventario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0CC73C" w14:textId="3C6AEB85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5" w:history="1">
        <w:r>
          <w:rPr>
            <w:rStyle w:val="Hipervnculo"/>
            <w:noProof/>
          </w:rPr>
          <w:t>2.2 Inventario de activos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441EE3" w14:textId="2E0921AB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6" w:history="1">
        <w:r>
          <w:rPr>
            <w:rStyle w:val="Hipervnculo"/>
            <w:noProof/>
          </w:rPr>
          <w:t>2.3 Clasificación de flujos por criticidad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61DF5B" w14:textId="3FCF5D27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07" w:history="1">
        <w:r>
          <w:rPr>
            <w:rStyle w:val="Hipervnculo"/>
            <w:b/>
            <w:noProof/>
          </w:rPr>
          <w:t>3. Diagramas de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C26751" w14:textId="5F461232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8" w:history="1">
        <w:r>
          <w:rPr>
            <w:rStyle w:val="Hipervnculo"/>
            <w:noProof/>
          </w:rPr>
          <w:t>3.1 Nivel 0: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0296A6" w14:textId="2D7CCEF3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9" w:history="1">
        <w:r>
          <w:rPr>
            <w:rStyle w:val="Hipervnculo"/>
            <w:noProof/>
          </w:rPr>
          <w:t>3.2 Nivel 1: procesos, almacenes y fronteras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5A1A78" w14:textId="6C30A53E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0" w:history="1">
        <w:r>
          <w:rPr>
            <w:rStyle w:val="Hipervnculo"/>
            <w:noProof/>
          </w:rPr>
          <w:t>3.3 Nivel 2: API de servicios y procesador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B66854" w14:textId="1CC57E54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1" w:history="1">
        <w:r>
          <w:rPr>
            <w:rStyle w:val="Hipervnculo"/>
            <w:noProof/>
          </w:rPr>
          <w:t>3.4 Fronteras de confianza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CD265E" w14:textId="1E4021AA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12" w:history="1">
        <w:r>
          <w:rPr>
            <w:rStyle w:val="Hipervnculo"/>
            <w:b/>
            <w:noProof/>
          </w:rPr>
          <w:t>4. Análisis de amenazas con STRIDE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45EBC4" w14:textId="0C097FDD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3" w:history="1">
        <w:r>
          <w:rPr>
            <w:rStyle w:val="Hipervnculo"/>
            <w:noProof/>
          </w:rPr>
          <w:t>4.1 Matriz STRIDE consolidada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72B5B7" w14:textId="53284CD9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4" w:history="1">
        <w:r>
          <w:rPr>
            <w:rStyle w:val="Hipervnculo"/>
            <w:noProof/>
          </w:rPr>
          <w:t>4.2 Inventario de amenazas y descripción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B1FC88" w14:textId="31AF1E54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5" w:history="1">
        <w:r>
          <w:rPr>
            <w:rStyle w:val="Hipervnculo"/>
            <w:noProof/>
          </w:rPr>
          <w:t>4.3 Registro de validación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31B916" w14:textId="0705E56D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16" w:history="1">
        <w:r>
          <w:rPr>
            <w:rStyle w:val="Hipervnculo"/>
            <w:b/>
            <w:noProof/>
          </w:rPr>
          <w:t>5. Priorización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964600" w14:textId="3417762E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7" w:history="1">
        <w:r>
          <w:rPr>
            <w:rStyle w:val="Hipervnculo"/>
            <w:noProof/>
          </w:rPr>
          <w:t>5.1 Matriz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085301" w14:textId="2950AA7C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8" w:history="1">
        <w:r>
          <w:rPr>
            <w:rStyle w:val="Hipervnculo"/>
            <w:noProof/>
          </w:rPr>
          <w:t>5.2 Top 10 de hallazgos prioritarios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652183" w14:textId="7E3E0B3D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9" w:history="1">
        <w:r>
          <w:rPr>
            <w:rStyle w:val="Hipervnculo"/>
            <w:noProof/>
          </w:rPr>
          <w:t>5.3 Tratamiento del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C35165" w14:textId="51898965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0" w:history="1">
        <w:r>
          <w:rPr>
            <w:rStyle w:val="Hipervnculo"/>
            <w:b/>
            <w:noProof/>
          </w:rPr>
          <w:t>6. Casos de abuso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164902" w14:textId="1EC4482A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21" w:history="1">
        <w:r>
          <w:rPr>
            <w:rStyle w:val="Hipervnculo"/>
            <w:noProof/>
          </w:rPr>
          <w:t>6.1 Árbol de ataque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FBD034" w14:textId="1365F592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2" w:history="1">
        <w:r>
          <w:rPr>
            <w:rStyle w:val="Hipervnculo"/>
            <w:b/>
            <w:noProof/>
          </w:rPr>
          <w:t>7.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6F4C1C" w14:textId="42F8B3C0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3" w:history="1">
        <w:r>
          <w:rPr>
            <w:rStyle w:val="Hipervnculo"/>
            <w:b/>
            <w:noProof/>
          </w:rPr>
          <w:t>8. Matriz de riesgos y remediación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C79355" w14:textId="3A3E0E78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4" w:history="1">
        <w:r>
          <w:rPr>
            <w:rStyle w:val="Hipervnculo"/>
            <w:b/>
            <w:noProof/>
          </w:rPr>
          <w:t>9. Roadmap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BF075" w14:textId="4BB42D1A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5" w:history="1">
        <w:r>
          <w:rPr>
            <w:rStyle w:val="Hipervnculo"/>
            <w:b/>
            <w:noProof/>
          </w:rPr>
          <w:t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F48467" w14:textId="53F5D30E" w:rsidR="0055664B" w:rsidRDefault="00000000">
      <w:pPr>
        <w:pStyle w:val="TDC1"/>
        <w:tabs>
          <w:tab w:val="right" w:leader="dot" w:pos="9396"/>
        </w:tabs>
        <w:rPr>
          <w:noProof/>
          <w:webHidden/>
        </w:rPr>
      </w:pPr>
      <w:hyperlink w:anchor="_Toc900126" w:history="1">
        <w:r>
          <w:rPr>
            <w:rStyle w:val="Hipervnculo"/>
            <w:b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 w14:paraId="4C3E43BD" w14:textId="77777777" w:rsidR="00C440A6" w:rsidRPr="00C440A6" w:rsidRDefault="00C440A6" w:rsidP="00C440A6">
      <w:pPr>
        <w:rPr>
          <w:webHidden/>
        </w:rPr>
      </w:pPr>
    </w:p>
    <w:p w14:paraId="67893093" w14:textId="77777777" w:rsidR="00C440A6" w:rsidRPr="00C440A6" w:rsidRDefault="00C440A6" w:rsidP="00C440A6">
      <w:pPr>
        <w:rPr>
          <w:webHidden/>
        </w:rPr>
      </w:pPr>
    </w:p>
    <w:p w14:paraId="0A3CC772" w14:textId="77777777" w:rsidR="00C440A6" w:rsidRDefault="00C440A6" w:rsidP="00C440A6">
      <w:pPr>
        <w:rPr>
          <w:noProof/>
          <w:webHidden/>
        </w:rPr>
      </w:pPr>
    </w:p>
    <w:p w14:paraId="4CF94808" w14:textId="77777777" w:rsidR="00C440A6" w:rsidRDefault="00C440A6" w:rsidP="00C440A6">
      <w:pPr>
        <w:tabs>
          <w:tab w:val="left" w:pos="8708"/>
        </w:tabs>
        <w:sectPr w:rsidR="00C440A6" w:rsidSect="00900852">
          <w:headerReference w:type="first" r:id="rId12"/>
          <w:pgSz w:w="12240" w:h="15840"/>
          <w:pgMar w:top="1417" w:right="1417" w:bottom="1417" w:left="1417" w:header="720" w:footer="720" w:gutter="0"/>
          <w:pgNumType w:start="1"/>
          <w:cols w:space="720"/>
          <w:titlePg/>
          <w:docGrid w:linePitch="360"/>
        </w:sectPr>
      </w:pPr>
    </w:p>
    <w:p w14:paraId="4B8863B2" w14:textId="77777777" w:rsidR="0055664B" w:rsidRDefault="00000000"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" w:name="_Toc900101"/>
      <w:r>
        <w:rPr>
          <w:b/>
          <w:lang w:val="es-GT"/>
        </w:rPr>
        <w:lastRenderedPageBreak/>
        <w:t>Introducción</w:t>
      </w:r>
      <w:bookmarkEnd w:id="1"/>
    </w:p>
    <w:p w14:paraId="4A657C4E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Este informe presenta el modelo de amenazas de ParaBank (la aplicación bancaria demo de Parasoft) desarrollado utilizando OWASP Threat Dragon, conforme a lo requerido en la Tarea 2 del curso. El análisis se adhiere a la lógica de la seguridad desde el diseño (shift-left): identificación de fallos potenciales antes de la producción, cuando la corrección cuesta menos.</w:t>
      </w:r>
    </w:p>
    <w:p w14:paraId="325E919B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Se elaboraron esquemas de flujo de datos de niveles 0, 1 y 2, se implementó la metodología STRIDE sobre cada elemento y se otorgó prioridad a los riesgos en función de su impacto y probabilidad. En total, se identificaron 23 amenazas: 5 de carácter crítico, 8 de grado alto, 9 de grado medio y 1 de grado bajo. Para las situaciones de críticas y altas, se registran casos de abuso, se implementan controles preventivos, se implementan medidas detectivas y correctivas, y se establece un plan de remediación a 12 meses.</w:t>
      </w:r>
    </w:p>
    <w:p w14:paraId="7104B5E8" w14:textId="08335503" w:rsidR="00C440A6" w:rsidRDefault="00000000">
      <w:pPr>
        <w:ind w:firstLine="720"/>
        <w:rPr>
          <w:lang w:val="es-GT"/>
        </w:rPr>
      </w:pPr>
      <w:r>
        <w:rPr>
          <w:lang w:val="es-GT"/>
        </w:rPr>
        <w:t>ParaBank constituye una aplicación de carácter vulnerable, concebida para la realización de pruebas. Los descubrimientos se manifiestan como si se tratara de una institución bancaria auténtica para implementar el método; no constituyen una evaluación crítica de un producto productivo.</w:t>
      </w:r>
      <w:r w:rsidR="00C440A6">
        <w:rPr>
          <w:lang w:val="es-GT"/>
        </w:rPr>
        <w:br w:type="page"/>
      </w:r>
    </w:p>
    <w:p w14:paraId="5CC373E0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" w:name="_Toc900102"/>
      <w:r>
        <w:rPr>
          <w:b/>
          <w:lang w:val="es-GT"/>
        </w:rPr>
        <w:lastRenderedPageBreak/>
        <w:t>1. Alcance, fuentes y supuestos</w:t>
      </w:r>
      <w:bookmarkEnd w:id="2"/>
    </w:p>
    <w:p w14:paraId="5141361C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Sistema evaluado.</w:t>
      </w:r>
      <w:r>
        <w:rPr>
          <w:lang w:val="es-GT"/>
        </w:rPr>
        <w:t xml:space="preserve"> ParaBank, a través de sus módulos de banca digital, ofrece servicios de autenticación, creación de cuentas, transferencias, pago de facturas, préstamos, gestión, servicios SOAP/REST, bases de datos y mensajería. El módulo auxiliar denominado Bookstore se encuentra fuera del alcance debido a su no integración en el flujo bancario.</w:t>
      </w:r>
    </w:p>
    <w:p w14:paraId="4DC5B2ED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Fuente de la arquitectura.</w:t>
      </w:r>
      <w:r>
        <w:rPr>
          <w:lang w:val="es-GT"/>
        </w:rPr>
        <w:t xml:space="preserve"> El código público del proyecto, publicado por Parasoft en 2026, el commit 13cc8d4c y su correspondiente archivo README. Durante el periodo laboral, la documentación en línea de Parasoft no se encontraba accesible, por lo que el análisis se fundamenta en el código fuente.</w:t>
      </w:r>
    </w:p>
    <w:p w14:paraId="346E175F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Criterio de evidencia.</w:t>
      </w:r>
      <w:r>
        <w:rPr>
          <w:lang w:val="es-GT"/>
        </w:rPr>
        <w:t xml:space="preserve"> Cada amenaza señala si está corroborada en el código o si se trata de una hipótesis que requiere validación. Una hipótesis se refiere a un riesgo plausible que no pudo ser verificado mediante la lectura del código, como el control de propiedad de los recursos en la interfaz de programación de aplicaciones (API).</w:t>
      </w:r>
    </w:p>
    <w:p w14:paraId="7E837937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Supuestos de despliegue.</w:t>
      </w:r>
      <w:r>
        <w:rPr>
          <w:lang w:val="es-GT"/>
        </w:rPr>
        <w:t xml:space="preserve"> Tomcat opera con la configuración preestablecida del README (HTTP, sin TLS finalizado en la aplicación), HyperSQL se encuentra en el puerto TCP 9001 y ActiveMQ se encuentra en TCP 61616. Si se emplea TLS o segmentación de red en el despliegue real, la probabilidad de varias amenazas disminuye.</w:t>
      </w:r>
    </w:p>
    <w:p w14:paraId="14CE2DCA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Validación pendiente.</w:t>
      </w:r>
      <w:r>
        <w:rPr>
          <w:lang w:val="es-GT"/>
        </w:rPr>
        <w:t xml:space="preserve"> La tarea solicita validar las amenazas con los equipos de Arquitectura y Desarrollo. En este contexto, únicamente se realizó un contraste con el código fuente; las hipótesis deben ser corroboradas mediante pruebas autorizadas en un entorno propio.</w:t>
      </w:r>
    </w:p>
    <w:p w14:paraId="44BF6D22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3" w:name="_Toc900103"/>
      <w:r>
        <w:rPr>
          <w:b/>
          <w:lang w:val="es-GT"/>
        </w:rPr>
        <w:t>2. Levantamiento de arquitectura</w:t>
      </w:r>
      <w:bookmarkEnd w:id="3"/>
    </w:p>
    <w:p w14:paraId="7ECA8784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4" w:name="_Toc900104"/>
      <w:r>
        <w:rPr>
          <w:b/>
          <w:lang w:val="es-GT"/>
        </w:rPr>
        <w:t>2.1 Inventario de componentes</w:t>
      </w:r>
      <w:bookmarkEnd w:id="4"/>
    </w:p>
    <w:p w14:paraId="3ABDCECF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ParaBank es una aplicación desarrollada en Java e implementada en Apache Tomcat. La interfaz web se implementa mediante Spring MVC, mientras que los servicios SOAP y REST se publican utilizando Apache CXF. Ambos recurren a la misma lógica de negocio, cuyos datos se almacenan en HyperSQL y que utiliza ActiveMQ para el procesamiento de préstamos.</w:t>
      </w:r>
    </w:p>
    <w:p w14:paraId="1EB3BEC8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</w:t>
      </w:r>
    </w:p>
    <w:p w14:paraId="70AAC17D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Inventario de componentes de ParaBank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100"/>
        <w:gridCol w:w="2000"/>
        <w:gridCol w:w="3106"/>
        <w:gridCol w:w="2500"/>
      </w:tblGrid>
      <w:tr w:rsidR="0055664B" w14:paraId="1725A479" w14:textId="77777777"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 w14:paraId="61CDD9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 w14:paraId="311E4F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Tipo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 w14:paraId="72D25F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Componente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 w14:paraId="0BAE4A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Función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 w14:paraId="387FBA9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Tecnología o archivo</w:t>
            </w:r>
          </w:p>
        </w:tc>
      </w:tr>
      <w:tr w:rsidR="0055664B" w14:paraId="0394CEDC" w14:textId="77777777">
        <w:trPr>
          <w:cantSplit/>
        </w:trPr>
        <w:tc>
          <w:tcPr>
            <w:tcW w:w="700" w:type="dxa"/>
          </w:tcPr>
          <w:p w14:paraId="1A236E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P_web</w:t>
            </w:r>
          </w:p>
        </w:tc>
        <w:tc>
          <w:tcPr>
            <w:tcW w:w="1100" w:type="dxa"/>
          </w:tcPr>
          <w:p w14:paraId="5C4890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2000" w:type="dxa"/>
          </w:tcPr>
          <w:p w14:paraId="66E4C107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Interfaz web (Spring MVC + JSP)</w:t>
            </w:r>
          </w:p>
        </w:tc>
        <w:tc>
          <w:tcPr>
            <w:tcW w:w="3106" w:type="dxa"/>
          </w:tcPr>
          <w:p w14:paraId="70CE0F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Páginas *.htm; usa LoginInterceptor para las páginas protegidas</w:t>
            </w:r>
          </w:p>
        </w:tc>
        <w:tc>
          <w:tcPr>
            <w:tcW w:w="2500" w:type="dxa"/>
          </w:tcPr>
          <w:p w14:paraId="2C3EE2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DispatcherServlet, parabank-servlet.xml</w:t>
            </w:r>
          </w:p>
        </w:tc>
      </w:tr>
      <w:tr w:rsidR="0055664B" w14:paraId="6FC8C20E" w14:textId="77777777">
        <w:trPr>
          <w:cantSplit/>
        </w:trPr>
        <w:tc>
          <w:tcPr>
            <w:tcW w:w="700" w:type="dxa"/>
          </w:tcPr>
          <w:p w14:paraId="7ED06D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P_api</w:t>
            </w:r>
          </w:p>
        </w:tc>
        <w:tc>
          <w:tcPr>
            <w:tcW w:w="1100" w:type="dxa"/>
          </w:tcPr>
          <w:p w14:paraId="1D12B9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2000" w:type="dxa"/>
          </w:tcPr>
          <w:p w14:paraId="72627E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Servicios SOAP/REST (Apache CXF)</w:t>
            </w:r>
          </w:p>
        </w:tc>
        <w:tc>
          <w:tcPr>
            <w:tcW w:w="3106" w:type="dxa"/>
          </w:tcPr>
          <w:p w14:paraId="479E8D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Endpoints /services/* (JAX-WS y JAX-RS) y /services_proxy/*</w:t>
            </w:r>
          </w:p>
        </w:tc>
        <w:tc>
          <w:tcPr>
            <w:tcW w:w="2500" w:type="dxa"/>
          </w:tcPr>
          <w:p w14:paraId="28A8D3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CXFServlet, cxf.xml, ParaBankService</w:t>
            </w:r>
          </w:p>
        </w:tc>
      </w:tr>
      <w:tr w:rsidR="0055664B" w14:paraId="5EA53521" w14:textId="77777777">
        <w:trPr>
          <w:cantSplit/>
        </w:trPr>
        <w:tc>
          <w:tcPr>
            <w:tcW w:w="700" w:type="dxa"/>
          </w:tcPr>
          <w:p w14:paraId="03C97A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P_bl</w:t>
            </w:r>
          </w:p>
        </w:tc>
        <w:tc>
          <w:tcPr>
            <w:tcW w:w="1100" w:type="dxa"/>
          </w:tcPr>
          <w:p w14:paraId="63643A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2000" w:type="dxa"/>
          </w:tcPr>
          <w:p w14:paraId="17318C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</w:t>
            </w:r>
          </w:p>
        </w:tc>
        <w:tc>
          <w:tcPr>
            <w:tcW w:w="3106" w:type="dxa"/>
          </w:tcPr>
          <w:p w14:paraId="62E2B2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BankManager, AdminManager y capa DAO JDBC</w:t>
            </w:r>
          </w:p>
        </w:tc>
        <w:tc>
          <w:tcPr>
            <w:tcW w:w="2500" w:type="dxa"/>
          </w:tcPr>
          <w:p w14:paraId="2DDBA7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domain.logic, dao.jdbc</w:t>
            </w:r>
          </w:p>
        </w:tc>
      </w:tr>
      <w:tr w:rsidR="0055664B" w14:paraId="0A5BB886" w14:textId="77777777">
        <w:trPr>
          <w:cantSplit/>
        </w:trPr>
        <w:tc>
          <w:tcPr>
            <w:tcW w:w="700" w:type="dxa"/>
          </w:tcPr>
          <w:p w14:paraId="02F419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P_loan</w:t>
            </w:r>
          </w:p>
        </w:tc>
        <w:tc>
          <w:tcPr>
            <w:tcW w:w="1100" w:type="dxa"/>
          </w:tcPr>
          <w:p w14:paraId="698E3C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2000" w:type="dxa"/>
          </w:tcPr>
          <w:p w14:paraId="10ACB2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</w:t>
            </w:r>
          </w:p>
        </w:tc>
        <w:tc>
          <w:tcPr>
            <w:tcW w:w="3106" w:type="dxa"/>
          </w:tcPr>
          <w:p w14:paraId="4C4565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LoanProcessor con umbral configurable y listener JMS</w:t>
            </w:r>
          </w:p>
        </w:tc>
        <w:tc>
          <w:tcPr>
            <w:tcW w:w="2500" w:type="dxa"/>
          </w:tcPr>
          <w:p w14:paraId="1D6016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AbstractLoanProcessor, JmsLoanProcessor</w:t>
            </w:r>
          </w:p>
        </w:tc>
      </w:tr>
      <w:tr w:rsidR="0055664B" w14:paraId="13B85BB5" w14:textId="77777777">
        <w:trPr>
          <w:cantSplit/>
        </w:trPr>
        <w:tc>
          <w:tcPr>
            <w:tcW w:w="700" w:type="dxa"/>
          </w:tcPr>
          <w:p w14:paraId="7BC291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P_admin</w:t>
            </w:r>
          </w:p>
        </w:tc>
        <w:tc>
          <w:tcPr>
            <w:tcW w:w="1100" w:type="dxa"/>
          </w:tcPr>
          <w:p w14:paraId="7264C8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2000" w:type="dxa"/>
          </w:tcPr>
          <w:p w14:paraId="1F773D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</w:t>
            </w:r>
          </w:p>
        </w:tc>
        <w:tc>
          <w:tcPr>
            <w:tcW w:w="3106" w:type="dxa"/>
          </w:tcPr>
          <w:p w14:paraId="3C6E15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admin.htm, db.htm, initializeDB.htm, jms.htm y operaciones de mantenimiento</w:t>
            </w:r>
          </w:p>
        </w:tc>
        <w:tc>
          <w:tcPr>
            <w:tcW w:w="2500" w:type="dxa"/>
          </w:tcPr>
          <w:p w14:paraId="664C2F1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AdminController, JmsListenerController</w:t>
            </w:r>
          </w:p>
        </w:tc>
      </w:tr>
      <w:tr w:rsidR="0055664B" w14:paraId="22377CA7" w14:textId="77777777">
        <w:trPr>
          <w:cantSplit/>
        </w:trPr>
        <w:tc>
          <w:tcPr>
            <w:tcW w:w="700" w:type="dxa"/>
          </w:tcPr>
          <w:p w14:paraId="22A2DF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D_db</w:t>
            </w:r>
          </w:p>
        </w:tc>
        <w:tc>
          <w:tcPr>
            <w:tcW w:w="1100" w:type="dxa"/>
          </w:tcPr>
          <w:p w14:paraId="5D5228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Almacén</w:t>
            </w:r>
          </w:p>
        </w:tc>
        <w:tc>
          <w:tcPr>
            <w:tcW w:w="2000" w:type="dxa"/>
          </w:tcPr>
          <w:p w14:paraId="33EEF2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Base de datos HyperSQL</w:t>
            </w:r>
          </w:p>
        </w:tc>
        <w:tc>
          <w:tcPr>
            <w:tcW w:w="3106" w:type="dxa"/>
          </w:tcPr>
          <w:p w14:paraId="70E94608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Tablas Customer, Account, Transaction, Positions, Parameter, News</w:t>
            </w:r>
          </w:p>
        </w:tc>
        <w:tc>
          <w:tcPr>
            <w:tcW w:w="2500" w:type="dxa"/>
          </w:tcPr>
          <w:p w14:paraId="40309100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jdbc:hsqldb:hsql://localhost/parabank (9001)</w:t>
            </w:r>
          </w:p>
        </w:tc>
      </w:tr>
      <w:tr w:rsidR="0055664B" w14:paraId="1F7ACE3D" w14:textId="77777777">
        <w:trPr>
          <w:cantSplit/>
        </w:trPr>
        <w:tc>
          <w:tcPr>
            <w:tcW w:w="700" w:type="dxa"/>
          </w:tcPr>
          <w:p w14:paraId="45B5C9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D_mq</w:t>
            </w:r>
          </w:p>
        </w:tc>
        <w:tc>
          <w:tcPr>
            <w:tcW w:w="1100" w:type="dxa"/>
          </w:tcPr>
          <w:p w14:paraId="69FAE58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Almacén</w:t>
            </w:r>
          </w:p>
        </w:tc>
        <w:tc>
          <w:tcPr>
            <w:tcW w:w="2000" w:type="dxa"/>
          </w:tcPr>
          <w:p w14:paraId="59453A3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ActiveMQ</w:t>
            </w:r>
          </w:p>
        </w:tc>
        <w:tc>
          <w:tcPr>
            <w:tcW w:w="3106" w:type="dxa"/>
          </w:tcPr>
          <w:p w14:paraId="4FD77B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Colas de solicitud y respuesta de préstamos</w:t>
            </w:r>
          </w:p>
        </w:tc>
        <w:tc>
          <w:tcPr>
            <w:tcW w:w="2500" w:type="dxa"/>
          </w:tcPr>
          <w:p w14:paraId="189822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applicationContext-jms.xml (61616)</w:t>
            </w:r>
          </w:p>
        </w:tc>
      </w:tr>
      <w:tr w:rsidR="0055664B" w14:paraId="51044E57" w14:textId="77777777">
        <w:trPr>
          <w:cantSplit/>
        </w:trPr>
        <w:tc>
          <w:tcPr>
            <w:tcW w:w="700" w:type="dxa"/>
          </w:tcPr>
          <w:p w14:paraId="4546B8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D_log</w:t>
            </w:r>
          </w:p>
        </w:tc>
        <w:tc>
          <w:tcPr>
            <w:tcW w:w="1100" w:type="dxa"/>
          </w:tcPr>
          <w:p w14:paraId="4520E5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Almacén</w:t>
            </w:r>
          </w:p>
        </w:tc>
        <w:tc>
          <w:tcPr>
            <w:tcW w:w="2000" w:type="dxa"/>
          </w:tcPr>
          <w:p w14:paraId="1A0333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Bitácoras (log4j2)</w:t>
            </w:r>
          </w:p>
        </w:tc>
        <w:tc>
          <w:tcPr>
            <w:tcW w:w="3106" w:type="dxa"/>
          </w:tcPr>
          <w:p w14:paraId="07C865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Registros de la aplicación</w:t>
            </w:r>
          </w:p>
        </w:tc>
        <w:tc>
          <w:tcPr>
            <w:tcW w:w="2500" w:type="dxa"/>
          </w:tcPr>
          <w:p w14:paraId="2DDEA2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log4j2.xml</w:t>
            </w:r>
          </w:p>
        </w:tc>
      </w:tr>
      <w:tr w:rsidR="0055664B" w14:paraId="1D9023EA" w14:textId="77777777">
        <w:trPr>
          <w:cantSplit/>
        </w:trPr>
        <w:tc>
          <w:tcPr>
            <w:tcW w:w="700" w:type="dxa"/>
          </w:tcPr>
          <w:p w14:paraId="2D3E43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lastRenderedPageBreak/>
              <w:t>E_cli</w:t>
            </w:r>
          </w:p>
        </w:tc>
        <w:tc>
          <w:tcPr>
            <w:tcW w:w="1100" w:type="dxa"/>
          </w:tcPr>
          <w:p w14:paraId="48B2AA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2000" w:type="dxa"/>
          </w:tcPr>
          <w:p w14:paraId="0948A8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Cliente (navegador web)</w:t>
            </w:r>
          </w:p>
        </w:tc>
        <w:tc>
          <w:tcPr>
            <w:tcW w:w="3106" w:type="dxa"/>
          </w:tcPr>
          <w:p w14:paraId="4379B6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Usuario final que opera su banca en línea desde un navegador</w:t>
            </w:r>
          </w:p>
        </w:tc>
        <w:tc>
          <w:tcPr>
            <w:tcW w:w="2500" w:type="dxa"/>
          </w:tcPr>
          <w:p w14:paraId="2F4FA59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Navegador</w:t>
            </w:r>
          </w:p>
        </w:tc>
      </w:tr>
      <w:tr w:rsidR="0055664B" w14:paraId="1A412FAA" w14:textId="77777777">
        <w:trPr>
          <w:cantSplit/>
        </w:trPr>
        <w:tc>
          <w:tcPr>
            <w:tcW w:w="700" w:type="dxa"/>
          </w:tcPr>
          <w:p w14:paraId="3DBE99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E_adm</w:t>
            </w:r>
          </w:p>
        </w:tc>
        <w:tc>
          <w:tcPr>
            <w:tcW w:w="1100" w:type="dxa"/>
          </w:tcPr>
          <w:p w14:paraId="540942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2000" w:type="dxa"/>
          </w:tcPr>
          <w:p w14:paraId="024443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Administrador / operador</w:t>
            </w:r>
          </w:p>
        </w:tc>
        <w:tc>
          <w:tcPr>
            <w:tcW w:w="3106" w:type="dxa"/>
          </w:tcPr>
          <w:p w14:paraId="0FEAE5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Persona que configura la demo: parámetros, base de datos, JMS</w:t>
            </w:r>
          </w:p>
        </w:tc>
        <w:tc>
          <w:tcPr>
            <w:tcW w:w="2500" w:type="dxa"/>
          </w:tcPr>
          <w:p w14:paraId="417400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Navegador</w:t>
            </w:r>
          </w:p>
        </w:tc>
      </w:tr>
      <w:tr w:rsidR="0055664B" w14:paraId="77705489" w14:textId="77777777">
        <w:trPr>
          <w:cantSplit/>
        </w:trPr>
        <w:tc>
          <w:tcPr>
            <w:tcW w:w="700" w:type="dxa"/>
          </w:tcPr>
          <w:p w14:paraId="51CE4C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E_int</w:t>
            </w:r>
          </w:p>
        </w:tc>
        <w:tc>
          <w:tcPr>
            <w:tcW w:w="1100" w:type="dxa"/>
          </w:tcPr>
          <w:p w14:paraId="726BB9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2000" w:type="dxa"/>
          </w:tcPr>
          <w:p w14:paraId="29B799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Sistema integrador (cliente API)</w:t>
            </w:r>
          </w:p>
        </w:tc>
        <w:tc>
          <w:tcPr>
            <w:tcW w:w="3106" w:type="dxa"/>
          </w:tcPr>
          <w:p w14:paraId="03849F5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Aplicación externa que consume los servicios SOAP/REST</w:t>
            </w:r>
          </w:p>
        </w:tc>
        <w:tc>
          <w:tcPr>
            <w:tcW w:w="2500" w:type="dxa"/>
          </w:tcPr>
          <w:p w14:paraId="11E0C8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 SOAP/REST</w:t>
            </w:r>
          </w:p>
        </w:tc>
      </w:tr>
      <w:tr w:rsidR="0055664B" w14:paraId="124515A1" w14:textId="77777777"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 w14:paraId="2B67F8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E_prov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 w14:paraId="4EB7A2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 w14:paraId="75E6A6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Proveedor externo de préstamos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 w14:paraId="2C95DA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Sistema que aprueba o rechaza solicitudes de préstamo (WS/JMS)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 w14:paraId="0BFD5F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ConfigurableLoanProvider</w:t>
            </w:r>
          </w:p>
        </w:tc>
      </w:tr>
    </w:tbl>
    <w:p w14:paraId="7F5B8572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base en el código de ParaBank (Parasoft, 2026).</w:t>
      </w:r>
    </w:p>
    <w:p w14:paraId="751B5CF3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5" w:name="_Toc900105"/>
      <w:r>
        <w:rPr>
          <w:b/>
          <w:lang w:val="es-GT"/>
        </w:rPr>
        <w:t>2.2 Inventario de activos de información</w:t>
      </w:r>
      <w:bookmarkEnd w:id="5"/>
    </w:p>
    <w:p w14:paraId="35C9BDE7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2</w:t>
      </w:r>
    </w:p>
    <w:p w14:paraId="178728DA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Activos de información y su clasificación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1300"/>
        <w:gridCol w:w="3106"/>
      </w:tblGrid>
      <w:tr w:rsidR="0055664B" w14:paraId="7283FA80" w14:textId="77777777">
        <w:trPr>
          <w:cantSplit/>
          <w:tblHeader/>
        </w:trPr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 w14:paraId="3736F62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Activo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 w14:paraId="528F2B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Ubicación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598045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Clasificación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 w14:paraId="28EEF6E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Justificación</w:t>
            </w:r>
          </w:p>
        </w:tc>
      </w:tr>
      <w:tr w:rsidR="0055664B" w14:paraId="754DBD45" w14:textId="77777777">
        <w:trPr>
          <w:cantSplit/>
        </w:trPr>
        <w:tc>
          <w:tcPr>
            <w:tcW w:w="2500" w:type="dxa"/>
          </w:tcPr>
          <w:p w14:paraId="4C2DEB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Credenciales (usuario y contraseña)</w:t>
            </w:r>
          </w:p>
        </w:tc>
        <w:tc>
          <w:tcPr>
            <w:tcW w:w="2500" w:type="dxa"/>
          </w:tcPr>
          <w:p w14:paraId="18BEAF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Customer, formularios y ruta de login</w:t>
            </w:r>
          </w:p>
        </w:tc>
        <w:tc>
          <w:tcPr>
            <w:tcW w:w="1300" w:type="dxa"/>
          </w:tcPr>
          <w:p w14:paraId="664FE0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3106" w:type="dxa"/>
          </w:tcPr>
          <w:p w14:paraId="216330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Permiten tomar cuentas bancarias</w:t>
            </w:r>
          </w:p>
        </w:tc>
      </w:tr>
      <w:tr w:rsidR="0055664B" w:rsidRPr="00C440A6" w14:paraId="7EB4B679" w14:textId="77777777">
        <w:trPr>
          <w:cantSplit/>
        </w:trPr>
        <w:tc>
          <w:tcPr>
            <w:tcW w:w="2500" w:type="dxa"/>
          </w:tcPr>
          <w:p w14:paraId="4262FB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SSN y datos personales</w:t>
            </w:r>
          </w:p>
        </w:tc>
        <w:tc>
          <w:tcPr>
            <w:tcW w:w="2500" w:type="dxa"/>
          </w:tcPr>
          <w:p w14:paraId="6A44F1D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Customer</w:t>
            </w:r>
          </w:p>
        </w:tc>
        <w:tc>
          <w:tcPr>
            <w:tcW w:w="1300" w:type="dxa"/>
          </w:tcPr>
          <w:p w14:paraId="71FF9F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3106" w:type="dxa"/>
          </w:tcPr>
          <w:p w14:paraId="7699A0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Habilitan la suplantación de identidad</w:t>
            </w:r>
          </w:p>
        </w:tc>
      </w:tr>
      <w:tr w:rsidR="0055664B" w14:paraId="7F323F67" w14:textId="77777777">
        <w:trPr>
          <w:cantSplit/>
        </w:trPr>
        <w:tc>
          <w:tcPr>
            <w:tcW w:w="2500" w:type="dxa"/>
          </w:tcPr>
          <w:p w14:paraId="75C94CB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Saldos, cuentas y transacciones</w:t>
            </w:r>
          </w:p>
        </w:tc>
        <w:tc>
          <w:tcPr>
            <w:tcW w:w="2500" w:type="dxa"/>
          </w:tcPr>
          <w:p w14:paraId="469220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Tablas Account y Transaction</w:t>
            </w:r>
          </w:p>
        </w:tc>
        <w:tc>
          <w:tcPr>
            <w:tcW w:w="1300" w:type="dxa"/>
          </w:tcPr>
          <w:p w14:paraId="6F058F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3106" w:type="dxa"/>
          </w:tcPr>
          <w:p w14:paraId="436470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Integridad financiera</w:t>
            </w:r>
          </w:p>
        </w:tc>
      </w:tr>
      <w:tr w:rsidR="0055664B" w:rsidRPr="00C440A6" w14:paraId="340DE981" w14:textId="77777777">
        <w:trPr>
          <w:cantSplit/>
        </w:trPr>
        <w:tc>
          <w:tcPr>
            <w:tcW w:w="2500" w:type="dxa"/>
          </w:tcPr>
          <w:p w14:paraId="45B746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Sesión del cliente (JSESSIONID)</w:t>
            </w:r>
          </w:p>
        </w:tc>
        <w:tc>
          <w:tcPr>
            <w:tcW w:w="2500" w:type="dxa"/>
          </w:tcPr>
          <w:p w14:paraId="231AA4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Cookie del navegador</w:t>
            </w:r>
          </w:p>
        </w:tc>
        <w:tc>
          <w:tcPr>
            <w:tcW w:w="1300" w:type="dxa"/>
          </w:tcPr>
          <w:p w14:paraId="5021F6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3106" w:type="dxa"/>
          </w:tcPr>
          <w:p w14:paraId="41E973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Su robo equivale a suplantar al cliente</w:t>
            </w:r>
          </w:p>
        </w:tc>
      </w:tr>
      <w:tr w:rsidR="0055664B" w:rsidRPr="00C440A6" w14:paraId="2043475F" w14:textId="77777777">
        <w:trPr>
          <w:cantSplit/>
        </w:trPr>
        <w:tc>
          <w:tcPr>
            <w:tcW w:w="2500" w:type="dxa"/>
          </w:tcPr>
          <w:p w14:paraId="14C3D10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Parámetros de configuración</w:t>
            </w:r>
          </w:p>
        </w:tc>
        <w:tc>
          <w:tcPr>
            <w:tcW w:w="2500" w:type="dxa"/>
          </w:tcPr>
          <w:p w14:paraId="3735F6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Parameter</w:t>
            </w:r>
          </w:p>
        </w:tc>
        <w:tc>
          <w:tcPr>
            <w:tcW w:w="1300" w:type="dxa"/>
          </w:tcPr>
          <w:p w14:paraId="2C46C5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3106" w:type="dxa"/>
          </w:tcPr>
          <w:p w14:paraId="3205B6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Alteran reglas de negocio, como el umbral de préstamos</w:t>
            </w:r>
          </w:p>
        </w:tc>
      </w:tr>
      <w:tr w:rsidR="0055664B" w14:paraId="0042D275" w14:textId="77777777">
        <w:trPr>
          <w:cantSplit/>
        </w:trPr>
        <w:tc>
          <w:tcPr>
            <w:tcW w:w="2500" w:type="dxa"/>
          </w:tcPr>
          <w:p w14:paraId="5015BA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Solicitudes y respuestas de préstamo</w:t>
            </w:r>
          </w:p>
        </w:tc>
        <w:tc>
          <w:tcPr>
            <w:tcW w:w="2500" w:type="dxa"/>
          </w:tcPr>
          <w:p w14:paraId="6C8DEF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Colas de ActiveMQ</w:t>
            </w:r>
          </w:p>
        </w:tc>
        <w:tc>
          <w:tcPr>
            <w:tcW w:w="1300" w:type="dxa"/>
          </w:tcPr>
          <w:p w14:paraId="1C20C5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3106" w:type="dxa"/>
          </w:tcPr>
          <w:p w14:paraId="305677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Contienen decisiones crediticias</w:t>
            </w:r>
          </w:p>
        </w:tc>
      </w:tr>
      <w:tr w:rsidR="0055664B" w14:paraId="2E05E30A" w14:textId="77777777">
        <w:trPr>
          <w:cantSplit/>
        </w:trPr>
        <w:tc>
          <w:tcPr>
            <w:tcW w:w="2500" w:type="dxa"/>
          </w:tcPr>
          <w:p w14:paraId="1E9077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Bitácoras de la aplicación</w:t>
            </w:r>
          </w:p>
        </w:tc>
        <w:tc>
          <w:tcPr>
            <w:tcW w:w="2500" w:type="dxa"/>
          </w:tcPr>
          <w:p w14:paraId="274318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log4j2</w:t>
            </w:r>
          </w:p>
        </w:tc>
        <w:tc>
          <w:tcPr>
            <w:tcW w:w="1300" w:type="dxa"/>
          </w:tcPr>
          <w:p w14:paraId="5420DD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3106" w:type="dxa"/>
          </w:tcPr>
          <w:p w14:paraId="0BE011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Evidencia para auditoría</w:t>
            </w:r>
          </w:p>
        </w:tc>
      </w:tr>
      <w:tr w:rsidR="0055664B" w14:paraId="2A76853E" w14:textId="77777777">
        <w:trPr>
          <w:cantSplit/>
        </w:trPr>
        <w:tc>
          <w:tcPr>
            <w:tcW w:w="2500" w:type="dxa"/>
            <w:tcBorders>
              <w:bottom w:val="single" w:sz="6" w:space="0" w:color="000000"/>
            </w:tcBorders>
          </w:tcPr>
          <w:p w14:paraId="32E3C57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Noticias y contenido público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 w14:paraId="671AF6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News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1074C2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 w14:paraId="6A67C8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Información pública</w:t>
            </w:r>
          </w:p>
        </w:tc>
      </w:tr>
    </w:tbl>
    <w:p w14:paraId="1FE265C8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4B675D5B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6" w:name="_Toc900106"/>
      <w:r>
        <w:rPr>
          <w:b/>
          <w:lang w:val="es-GT"/>
        </w:rPr>
        <w:t>2.3 Clasificación de flujos por criticidad</w:t>
      </w:r>
      <w:bookmarkEnd w:id="6"/>
    </w:p>
    <w:p w14:paraId="577552A2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La Tabla 3 categoriza los flujos de información y documenta las características de confidencialidad e integridad establecidas en Threat Dragon. Los flujos que emplean HTTP, JDBC o JMS sobre TCP se identificaron sin cifrado debido a su representación del despliegue por defecto; de esta manera, el motor de reglas no oculta amenazas reales. Se identificaron como protegidos los flujos internos dentro de la misma JVM.</w:t>
      </w:r>
    </w:p>
    <w:p w14:paraId="4AF0043E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3</w:t>
      </w:r>
    </w:p>
    <w:p w14:paraId="74DF8DDF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Flujos de datos, propiedades y criticidad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1100"/>
        <w:gridCol w:w="900"/>
        <w:gridCol w:w="1306"/>
      </w:tblGrid>
      <w:tr w:rsidR="0055664B" w14:paraId="764CBE80" w14:textId="77777777"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 w14:paraId="3F528B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Flujo</w:t>
            </w:r>
          </w:p>
        </w:tc>
        <w:tc>
          <w:tcPr>
            <w:tcW w:w="4000" w:type="dxa"/>
            <w:tcBorders>
              <w:top w:val="single" w:sz="6" w:space="0" w:color="000000"/>
              <w:bottom w:val="single" w:sz="6" w:space="0" w:color="000000"/>
            </w:tcBorders>
          </w:tcPr>
          <w:p w14:paraId="5CC0EE5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Origen → Destino</w:t>
            </w:r>
          </w:p>
        </w:tc>
        <w:tc>
          <w:tcPr>
            <w:tcW w:w="1400" w:type="dxa"/>
            <w:tcBorders>
              <w:top w:val="single" w:sz="6" w:space="0" w:color="000000"/>
              <w:bottom w:val="single" w:sz="6" w:space="0" w:color="000000"/>
            </w:tcBorders>
          </w:tcPr>
          <w:p w14:paraId="7084C0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Protocolo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 w14:paraId="2FE429B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Conf./Integ.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 w14:paraId="5F2258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Frontera</w:t>
            </w:r>
          </w:p>
        </w:tc>
        <w:tc>
          <w:tcPr>
            <w:tcW w:w="1306" w:type="dxa"/>
            <w:tcBorders>
              <w:top w:val="single" w:sz="6" w:space="0" w:color="000000"/>
              <w:bottom w:val="single" w:sz="6" w:space="0" w:color="000000"/>
            </w:tcBorders>
          </w:tcPr>
          <w:p w14:paraId="43B0F2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Criticidad</w:t>
            </w:r>
          </w:p>
        </w:tc>
      </w:tr>
      <w:tr w:rsidR="0055664B" w14:paraId="65BB08FF" w14:textId="77777777">
        <w:trPr>
          <w:cantSplit/>
        </w:trPr>
        <w:tc>
          <w:tcPr>
            <w:tcW w:w="700" w:type="dxa"/>
          </w:tcPr>
          <w:p w14:paraId="793533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F01</w:t>
            </w:r>
          </w:p>
        </w:tc>
        <w:tc>
          <w:tcPr>
            <w:tcW w:w="4000" w:type="dxa"/>
          </w:tcPr>
          <w:p w14:paraId="090E50E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Cliente (navegador web) → Interfaz web (Spring MVC + JSP)</w:t>
            </w:r>
          </w:p>
        </w:tc>
        <w:tc>
          <w:tcPr>
            <w:tcW w:w="1400" w:type="dxa"/>
          </w:tcPr>
          <w:p w14:paraId="054231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100" w:type="dxa"/>
          </w:tcPr>
          <w:p w14:paraId="576F842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6C2CDC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306" w:type="dxa"/>
          </w:tcPr>
          <w:p w14:paraId="100688C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29DE5CC3" w14:textId="77777777">
        <w:trPr>
          <w:cantSplit/>
        </w:trPr>
        <w:tc>
          <w:tcPr>
            <w:tcW w:w="700" w:type="dxa"/>
          </w:tcPr>
          <w:p w14:paraId="535507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F02</w:t>
            </w:r>
          </w:p>
        </w:tc>
        <w:tc>
          <w:tcPr>
            <w:tcW w:w="4000" w:type="dxa"/>
          </w:tcPr>
          <w:p w14:paraId="000938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Interfaz web (Spring MVC + JSP) → Cliente (navegador web)</w:t>
            </w:r>
          </w:p>
        </w:tc>
        <w:tc>
          <w:tcPr>
            <w:tcW w:w="1400" w:type="dxa"/>
          </w:tcPr>
          <w:p w14:paraId="7CC006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100" w:type="dxa"/>
          </w:tcPr>
          <w:p w14:paraId="6DD5BE5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3BF3B8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306" w:type="dxa"/>
          </w:tcPr>
          <w:p w14:paraId="0FF7A0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43118838" w14:textId="77777777">
        <w:trPr>
          <w:cantSplit/>
        </w:trPr>
        <w:tc>
          <w:tcPr>
            <w:tcW w:w="700" w:type="dxa"/>
          </w:tcPr>
          <w:p w14:paraId="529960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F03</w:t>
            </w:r>
          </w:p>
        </w:tc>
        <w:tc>
          <w:tcPr>
            <w:tcW w:w="4000" w:type="dxa"/>
          </w:tcPr>
          <w:p w14:paraId="6108DFA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Sistema integrador (cliente API) → Servicios SOAP/REST (Apache CXF)</w:t>
            </w:r>
          </w:p>
        </w:tc>
        <w:tc>
          <w:tcPr>
            <w:tcW w:w="1400" w:type="dxa"/>
          </w:tcPr>
          <w:p w14:paraId="2C78B6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100" w:type="dxa"/>
          </w:tcPr>
          <w:p w14:paraId="2DEED2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3E057E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306" w:type="dxa"/>
          </w:tcPr>
          <w:p w14:paraId="73C762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7A98FD07" w14:textId="77777777">
        <w:trPr>
          <w:cantSplit/>
        </w:trPr>
        <w:tc>
          <w:tcPr>
            <w:tcW w:w="700" w:type="dxa"/>
          </w:tcPr>
          <w:p w14:paraId="12A3AB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F04</w:t>
            </w:r>
          </w:p>
        </w:tc>
        <w:tc>
          <w:tcPr>
            <w:tcW w:w="4000" w:type="dxa"/>
          </w:tcPr>
          <w:p w14:paraId="2BE8E2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Interfaz web (Spring MVC + JSP) → Lógica de negocio y DAO</w:t>
            </w:r>
          </w:p>
        </w:tc>
        <w:tc>
          <w:tcPr>
            <w:tcW w:w="1400" w:type="dxa"/>
          </w:tcPr>
          <w:p w14:paraId="203B07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100" w:type="dxa"/>
          </w:tcPr>
          <w:p w14:paraId="139DDF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900" w:type="dxa"/>
          </w:tcPr>
          <w:p w14:paraId="2AA36A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306" w:type="dxa"/>
          </w:tcPr>
          <w:p w14:paraId="5A3692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729E5E0" w14:textId="77777777">
        <w:trPr>
          <w:cantSplit/>
        </w:trPr>
        <w:tc>
          <w:tcPr>
            <w:tcW w:w="700" w:type="dxa"/>
          </w:tcPr>
          <w:p w14:paraId="5A2FE52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F05</w:t>
            </w:r>
          </w:p>
        </w:tc>
        <w:tc>
          <w:tcPr>
            <w:tcW w:w="4000" w:type="dxa"/>
          </w:tcPr>
          <w:p w14:paraId="7A782E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Servicios SOAP/REST (Apache CXF) → Lógica de negocio y DAO</w:t>
            </w:r>
          </w:p>
        </w:tc>
        <w:tc>
          <w:tcPr>
            <w:tcW w:w="1400" w:type="dxa"/>
          </w:tcPr>
          <w:p w14:paraId="6FA7D8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100" w:type="dxa"/>
          </w:tcPr>
          <w:p w14:paraId="1532D7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900" w:type="dxa"/>
          </w:tcPr>
          <w:p w14:paraId="5A803C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306" w:type="dxa"/>
          </w:tcPr>
          <w:p w14:paraId="04965AE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0CE7BFE" w14:textId="77777777">
        <w:trPr>
          <w:cantSplit/>
        </w:trPr>
        <w:tc>
          <w:tcPr>
            <w:tcW w:w="700" w:type="dxa"/>
          </w:tcPr>
          <w:p w14:paraId="3D647E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F06</w:t>
            </w:r>
          </w:p>
        </w:tc>
        <w:tc>
          <w:tcPr>
            <w:tcW w:w="4000" w:type="dxa"/>
          </w:tcPr>
          <w:p w14:paraId="534ECF4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 → Base de datos HyperSQL</w:t>
            </w:r>
          </w:p>
        </w:tc>
        <w:tc>
          <w:tcPr>
            <w:tcW w:w="1400" w:type="dxa"/>
          </w:tcPr>
          <w:p w14:paraId="1171C4B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JDBC/TCP 9001</w:t>
            </w:r>
          </w:p>
        </w:tc>
        <w:tc>
          <w:tcPr>
            <w:tcW w:w="1100" w:type="dxa"/>
          </w:tcPr>
          <w:p w14:paraId="54933F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30024C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1306" w:type="dxa"/>
          </w:tcPr>
          <w:p w14:paraId="6338B04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6B9C0CE3" w14:textId="77777777">
        <w:trPr>
          <w:cantSplit/>
        </w:trPr>
        <w:tc>
          <w:tcPr>
            <w:tcW w:w="700" w:type="dxa"/>
          </w:tcPr>
          <w:p w14:paraId="5C7772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F07</w:t>
            </w:r>
          </w:p>
        </w:tc>
        <w:tc>
          <w:tcPr>
            <w:tcW w:w="4000" w:type="dxa"/>
          </w:tcPr>
          <w:p w14:paraId="6D7441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 → Procesador de préstamos</w:t>
            </w:r>
          </w:p>
        </w:tc>
        <w:tc>
          <w:tcPr>
            <w:tcW w:w="1400" w:type="dxa"/>
          </w:tcPr>
          <w:p w14:paraId="200891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100" w:type="dxa"/>
          </w:tcPr>
          <w:p w14:paraId="03CFD9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900" w:type="dxa"/>
          </w:tcPr>
          <w:p w14:paraId="57C56E9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306" w:type="dxa"/>
          </w:tcPr>
          <w:p w14:paraId="4C3014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0EFB9337" w14:textId="77777777">
        <w:trPr>
          <w:cantSplit/>
        </w:trPr>
        <w:tc>
          <w:tcPr>
            <w:tcW w:w="700" w:type="dxa"/>
          </w:tcPr>
          <w:p w14:paraId="5CA754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F08</w:t>
            </w:r>
          </w:p>
        </w:tc>
        <w:tc>
          <w:tcPr>
            <w:tcW w:w="4000" w:type="dxa"/>
          </w:tcPr>
          <w:p w14:paraId="1A6866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 → Broker ActiveMQ</w:t>
            </w:r>
          </w:p>
        </w:tc>
        <w:tc>
          <w:tcPr>
            <w:tcW w:w="1400" w:type="dxa"/>
          </w:tcPr>
          <w:p w14:paraId="323363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JMS/TCP 61616</w:t>
            </w:r>
          </w:p>
        </w:tc>
        <w:tc>
          <w:tcPr>
            <w:tcW w:w="1100" w:type="dxa"/>
          </w:tcPr>
          <w:p w14:paraId="787D00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6E84BC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1306" w:type="dxa"/>
          </w:tcPr>
          <w:p w14:paraId="753F0D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25E2E5B0" w14:textId="77777777">
        <w:trPr>
          <w:cantSplit/>
        </w:trPr>
        <w:tc>
          <w:tcPr>
            <w:tcW w:w="700" w:type="dxa"/>
          </w:tcPr>
          <w:p w14:paraId="644B6C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lastRenderedPageBreak/>
              <w:t>F09</w:t>
            </w:r>
          </w:p>
        </w:tc>
        <w:tc>
          <w:tcPr>
            <w:tcW w:w="4000" w:type="dxa"/>
          </w:tcPr>
          <w:p w14:paraId="3C9B2F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 → Proveedor externo de préstamos</w:t>
            </w:r>
          </w:p>
        </w:tc>
        <w:tc>
          <w:tcPr>
            <w:tcW w:w="1400" w:type="dxa"/>
          </w:tcPr>
          <w:p w14:paraId="2866E4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WS/JMS</w:t>
            </w:r>
          </w:p>
        </w:tc>
        <w:tc>
          <w:tcPr>
            <w:tcW w:w="1100" w:type="dxa"/>
          </w:tcPr>
          <w:p w14:paraId="0E4595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1E736D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TB3</w:t>
            </w:r>
          </w:p>
        </w:tc>
        <w:tc>
          <w:tcPr>
            <w:tcW w:w="1306" w:type="dxa"/>
          </w:tcPr>
          <w:p w14:paraId="4D3FDB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147E97FD" w14:textId="77777777">
        <w:trPr>
          <w:cantSplit/>
        </w:trPr>
        <w:tc>
          <w:tcPr>
            <w:tcW w:w="700" w:type="dxa"/>
          </w:tcPr>
          <w:p w14:paraId="0C92451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F10</w:t>
            </w:r>
          </w:p>
        </w:tc>
        <w:tc>
          <w:tcPr>
            <w:tcW w:w="4000" w:type="dxa"/>
          </w:tcPr>
          <w:p w14:paraId="627147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Administrador / operador → Administración y utilidades</w:t>
            </w:r>
          </w:p>
        </w:tc>
        <w:tc>
          <w:tcPr>
            <w:tcW w:w="1400" w:type="dxa"/>
          </w:tcPr>
          <w:p w14:paraId="2EBE3F1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100" w:type="dxa"/>
          </w:tcPr>
          <w:p w14:paraId="538833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2B2C61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306" w:type="dxa"/>
          </w:tcPr>
          <w:p w14:paraId="60A77D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2B5FF3AF" w14:textId="77777777">
        <w:trPr>
          <w:cantSplit/>
        </w:trPr>
        <w:tc>
          <w:tcPr>
            <w:tcW w:w="700" w:type="dxa"/>
          </w:tcPr>
          <w:p w14:paraId="579994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F11</w:t>
            </w:r>
          </w:p>
        </w:tc>
        <w:tc>
          <w:tcPr>
            <w:tcW w:w="4000" w:type="dxa"/>
          </w:tcPr>
          <w:p w14:paraId="39DF4F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 → Base de datos HyperSQL</w:t>
            </w:r>
          </w:p>
        </w:tc>
        <w:tc>
          <w:tcPr>
            <w:tcW w:w="1400" w:type="dxa"/>
          </w:tcPr>
          <w:p w14:paraId="46F0DC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JDBC/TCP 9001</w:t>
            </w:r>
          </w:p>
        </w:tc>
        <w:tc>
          <w:tcPr>
            <w:tcW w:w="1100" w:type="dxa"/>
          </w:tcPr>
          <w:p w14:paraId="215019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900" w:type="dxa"/>
          </w:tcPr>
          <w:p w14:paraId="18EA108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1306" w:type="dxa"/>
          </w:tcPr>
          <w:p w14:paraId="6688DB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157A4730" w14:textId="77777777">
        <w:trPr>
          <w:cantSplit/>
        </w:trPr>
        <w:tc>
          <w:tcPr>
            <w:tcW w:w="700" w:type="dxa"/>
          </w:tcPr>
          <w:p w14:paraId="1B143B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F12</w:t>
            </w:r>
          </w:p>
        </w:tc>
        <w:tc>
          <w:tcPr>
            <w:tcW w:w="4000" w:type="dxa"/>
          </w:tcPr>
          <w:p w14:paraId="7245BB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 → Bitácoras (log4j2)</w:t>
            </w:r>
          </w:p>
        </w:tc>
        <w:tc>
          <w:tcPr>
            <w:tcW w:w="1400" w:type="dxa"/>
          </w:tcPr>
          <w:p w14:paraId="78269E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Archivo</w:t>
            </w:r>
          </w:p>
        </w:tc>
        <w:tc>
          <w:tcPr>
            <w:tcW w:w="1100" w:type="dxa"/>
          </w:tcPr>
          <w:p w14:paraId="7CA7ACB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900" w:type="dxa"/>
          </w:tcPr>
          <w:p w14:paraId="479AAF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306" w:type="dxa"/>
          </w:tcPr>
          <w:p w14:paraId="14477C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188FCB7" w14:textId="77777777"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 w14:paraId="0F09C2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F13</w:t>
            </w:r>
          </w:p>
        </w:tc>
        <w:tc>
          <w:tcPr>
            <w:tcW w:w="4000" w:type="dxa"/>
            <w:tcBorders>
              <w:bottom w:val="single" w:sz="6" w:space="0" w:color="000000"/>
            </w:tcBorders>
          </w:tcPr>
          <w:p w14:paraId="047D15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 → Procesador de préstamos</w:t>
            </w:r>
          </w:p>
        </w:tc>
        <w:tc>
          <w:tcPr>
            <w:tcW w:w="1400" w:type="dxa"/>
            <w:tcBorders>
              <w:bottom w:val="single" w:sz="6" w:space="0" w:color="000000"/>
            </w:tcBorders>
          </w:tcPr>
          <w:p w14:paraId="4DA8D6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 w14:paraId="6130CDD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 w14:paraId="285664F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306" w:type="dxa"/>
            <w:tcBorders>
              <w:bottom w:val="single" w:sz="6" w:space="0" w:color="000000"/>
            </w:tcBorders>
          </w:tcPr>
          <w:p w14:paraId="156CFF4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</w:tbl>
    <w:p w14:paraId="4F53B060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Conf./Integ. indica si el flujo provee confidencialidad e integridad. Elaboración propia con base en el modelo de Threat Dragon.</w:t>
      </w:r>
    </w:p>
    <w:p w14:paraId="58A2400B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7" w:name="_Toc900107"/>
      <w:r>
        <w:rPr>
          <w:b/>
          <w:lang w:val="es-GT"/>
        </w:rPr>
        <w:t>3. Diagramas de flujo de datos</w:t>
      </w:r>
      <w:bookmarkEnd w:id="7"/>
    </w:p>
    <w:p w14:paraId="637FD8C9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Los diagramas fueron confeccionados utilizando el software OWASP Threat Dragon. El Nivel 0 proporciona una representación del contexto del sistema, el Nivel 1 desglosa los procesos, almacenes y flujos principales con sus respectivas fronteras de confianza, mientras que el Nivel 2 especifica el servicio de API y el circuito de préstamos, que se refiere a la integración con terceros y middleware.</w:t>
      </w:r>
    </w:p>
    <w:p w14:paraId="3AAC7B59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8" w:name="_Toc900108"/>
      <w:r>
        <w:rPr>
          <w:b/>
          <w:lang w:val="es-GT"/>
        </w:rPr>
        <w:t>3.1 Nivel 0: contexto</w:t>
      </w:r>
      <w:bookmarkEnd w:id="8"/>
    </w:p>
    <w:p w14:paraId="0604E77E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ParaBank está en interacción con cuatro entidades externas: el cliente, el administrador, el sistema integrador que consume las interfaces de programación de aplicaciones (APIs) y el proveedor externo de préstamos. La frontera TB1 distingue la aplicación de Internet, mientras que la frontera TB3 distingue la aplicación del proveedor externo.</w:t>
      </w:r>
    </w:p>
    <w:p w14:paraId="05317E4E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1</w:t>
      </w:r>
    </w:p>
    <w:p w14:paraId="56C72C49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DFD Nivel 0: contexto de ParaBank</w:t>
      </w:r>
    </w:p>
    <w:p w14:paraId="31FABDF8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29E1328B" wp14:editId="3F5CD291">
            <wp:extent cx="5900000" cy="2528571"/>
            <wp:effectExtent l="0" t="0" r="0" b="0"/>
            <wp:docPr id="600" name="Figura 1" descr="DFD nivel 0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" name="dfd_nivel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793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OWASP Threat Dragon.</w:t>
      </w:r>
    </w:p>
    <w:p w14:paraId="4401E35B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9" w:name="_Toc900109"/>
      <w:r>
        <w:rPr>
          <w:b/>
          <w:lang w:val="es-GT"/>
        </w:rPr>
        <w:t>3.2 Nivel 1: procesos, almacenes y fronteras</w:t>
      </w:r>
      <w:bookmarkEnd w:id="9"/>
    </w:p>
    <w:p w14:paraId="177BE4C4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 xml:space="preserve">El Nivel 1 distingue la interfaz web, los servicios SOAP/REST, la lógica empresarial, el procesador de préstamos y la gestión. Las unidades de almacenamiento comprenden la base de datos HyperSQL, el intermediario ActiveMQ y las bitácoras. Los procesos y los almacenes fueron </w:t>
      </w:r>
      <w:r>
        <w:rPr>
          <w:lang w:val="es-GT"/>
        </w:rPr>
        <w:lastRenderedPageBreak/>
        <w:t>modelados de manera independiente para prevenir la confusión de las reglas de STRIDE entre ambos.</w:t>
      </w:r>
    </w:p>
    <w:p w14:paraId="0703EA5B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2</w:t>
      </w:r>
    </w:p>
    <w:p w14:paraId="3C424C8C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DFD Nivel 1: procesos, almacenes y fronteras de confianza</w:t>
      </w:r>
    </w:p>
    <w:p w14:paraId="567F6622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6706D6DF" wp14:editId="0C6E0CD2">
            <wp:extent cx="5900000" cy="2447004"/>
            <wp:effectExtent l="0" t="0" r="0" b="0"/>
            <wp:docPr id="601" name="Figura 2" descr="DFD nivel 1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" name="dfd_nivel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44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06EE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Los elementos con borde rojo tienen amenazas asociadas. Elaboración propia con OWASP Threat Dragon.</w:t>
      </w:r>
    </w:p>
    <w:p w14:paraId="2DDCDDD6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0" w:name="_Toc900110"/>
      <w:r>
        <w:rPr>
          <w:b/>
          <w:lang w:val="es-GT"/>
        </w:rPr>
        <w:t>3.3 Nivel 2: API de servicios y procesador de préstamos</w:t>
      </w:r>
      <w:bookmarkEnd w:id="10"/>
    </w:p>
    <w:p w14:paraId="0D371A82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Este nivel desglosa el servicio de API en aspectos como la autenticación, las transferencias y pagos, la administración de clientes y la solicitud de préstamo, y expone el proceso de transmisión de mensajes a través de la cola JMS hasta el proveedor externo.</w:t>
      </w:r>
    </w:p>
    <w:p w14:paraId="1600B6CF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3</w:t>
      </w:r>
    </w:p>
    <w:p w14:paraId="3471E4EA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DFD Nivel 2: API de servicios y procesador de préstamos</w:t>
      </w:r>
    </w:p>
    <w:p w14:paraId="1067A3F3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74EE85AA" wp14:editId="7D8ABF7E">
            <wp:extent cx="5900000" cy="2566561"/>
            <wp:effectExtent l="0" t="0" r="0" b="0"/>
            <wp:docPr id="602" name="Figura 3" descr="DFD nivel 2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" name="dfd_nivel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6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6AEE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OWASP Threat Dragon.</w:t>
      </w:r>
    </w:p>
    <w:p w14:paraId="4B581B81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1" w:name="_Toc900111"/>
      <w:r>
        <w:rPr>
          <w:b/>
          <w:lang w:val="es-GT"/>
        </w:rPr>
        <w:lastRenderedPageBreak/>
        <w:t>3.4 Fronteras de confianza</w:t>
      </w:r>
      <w:bookmarkEnd w:id="11"/>
    </w:p>
    <w:p w14:paraId="0E240533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4</w:t>
      </w:r>
    </w:p>
    <w:p w14:paraId="16E82722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Fronteras de confianza identificadas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900"/>
        <w:gridCol w:w="3300"/>
        <w:gridCol w:w="2000"/>
        <w:gridCol w:w="3206"/>
      </w:tblGrid>
      <w:tr w:rsidR="0055664B" w14:paraId="1E181E46" w14:textId="77777777">
        <w:trPr>
          <w:cantSplit/>
          <w:tblHeader/>
        </w:trPr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 w14:paraId="633200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Frontera</w:t>
            </w:r>
          </w:p>
        </w:tc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 w14:paraId="1041246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Separa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 w14:paraId="2E1DFB8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Flujos que la cruzan</w:t>
            </w:r>
          </w:p>
        </w:tc>
        <w:tc>
          <w:tcPr>
            <w:tcW w:w="3206" w:type="dxa"/>
            <w:tcBorders>
              <w:top w:val="single" w:sz="6" w:space="0" w:color="000000"/>
              <w:bottom w:val="single" w:sz="6" w:space="0" w:color="000000"/>
            </w:tcBorders>
          </w:tcPr>
          <w:p w14:paraId="4F4827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Motivo</w:t>
            </w:r>
          </w:p>
        </w:tc>
      </w:tr>
      <w:tr w:rsidR="0055664B" w:rsidRPr="00C440A6" w14:paraId="5C5C5E17" w14:textId="77777777">
        <w:trPr>
          <w:cantSplit/>
        </w:trPr>
        <w:tc>
          <w:tcPr>
            <w:tcW w:w="900" w:type="dxa"/>
          </w:tcPr>
          <w:p w14:paraId="1E4E15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3300" w:type="dxa"/>
          </w:tcPr>
          <w:p w14:paraId="349AF6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Internet y redes no confiables | Aplicación en Tomcat</w:t>
            </w:r>
          </w:p>
        </w:tc>
        <w:tc>
          <w:tcPr>
            <w:tcW w:w="2000" w:type="dxa"/>
          </w:tcPr>
          <w:p w14:paraId="37EBF51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F01, F02, F03, F10</w:t>
            </w:r>
          </w:p>
        </w:tc>
        <w:tc>
          <w:tcPr>
            <w:tcW w:w="3206" w:type="dxa"/>
          </w:tcPr>
          <w:p w14:paraId="7226FA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Es donde entra todo dato no confiable</w:t>
            </w:r>
          </w:p>
        </w:tc>
      </w:tr>
      <w:tr w:rsidR="0055664B" w:rsidRPr="00C440A6" w14:paraId="008116EE" w14:textId="77777777">
        <w:trPr>
          <w:cantSplit/>
        </w:trPr>
        <w:tc>
          <w:tcPr>
            <w:tcW w:w="900" w:type="dxa"/>
          </w:tcPr>
          <w:p w14:paraId="5E9292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3300" w:type="dxa"/>
          </w:tcPr>
          <w:p w14:paraId="380D81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Aplicación | Base de datos y broker</w:t>
            </w:r>
          </w:p>
        </w:tc>
        <w:tc>
          <w:tcPr>
            <w:tcW w:w="2000" w:type="dxa"/>
          </w:tcPr>
          <w:p w14:paraId="793FD0E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F06, F08, F11</w:t>
            </w:r>
          </w:p>
        </w:tc>
        <w:tc>
          <w:tcPr>
            <w:tcW w:w="3206" w:type="dxa"/>
          </w:tcPr>
          <w:p w14:paraId="203DDE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Los datos de mayor valor están al otro lado</w:t>
            </w:r>
          </w:p>
        </w:tc>
      </w:tr>
      <w:tr w:rsidR="0055664B" w:rsidRPr="00C440A6" w14:paraId="469EF185" w14:textId="77777777">
        <w:trPr>
          <w:cantSplit/>
        </w:trPr>
        <w:tc>
          <w:tcPr>
            <w:tcW w:w="900" w:type="dxa"/>
            <w:tcBorders>
              <w:bottom w:val="single" w:sz="6" w:space="0" w:color="000000"/>
            </w:tcBorders>
          </w:tcPr>
          <w:p w14:paraId="73594C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TB3</w:t>
            </w:r>
          </w:p>
        </w:tc>
        <w:tc>
          <w:tcPr>
            <w:tcW w:w="3300" w:type="dxa"/>
            <w:tcBorders>
              <w:bottom w:val="single" w:sz="6" w:space="0" w:color="000000"/>
            </w:tcBorders>
          </w:tcPr>
          <w:p w14:paraId="43E711D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Aplicación | Proveedores externos de préstamos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 w14:paraId="12A4D3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F09</w:t>
            </w:r>
          </w:p>
        </w:tc>
        <w:tc>
          <w:tcPr>
            <w:tcW w:w="3206" w:type="dxa"/>
            <w:tcBorders>
              <w:bottom w:val="single" w:sz="6" w:space="0" w:color="000000"/>
            </w:tcBorders>
          </w:tcPr>
          <w:p w14:paraId="58621A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Es un tercero fuera del control del equipo</w:t>
            </w:r>
          </w:p>
        </w:tc>
      </w:tr>
    </w:tbl>
    <w:p w14:paraId="5AA4596D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6E0789D4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12" w:name="_Toc900112"/>
      <w:r>
        <w:rPr>
          <w:b/>
          <w:lang w:val="es-GT"/>
        </w:rPr>
        <w:t>4. Análisis de amenazas con STRIDE</w:t>
      </w:r>
      <w:bookmarkEnd w:id="12"/>
    </w:p>
    <w:p w14:paraId="323F850D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Se implementó la metodología STRIDE a cada flujo, proceso y almacén representado en el diagrama. Las 23 amenazas fueron identificadas manualmente, respaldadas por el código fuente; no se originan a partir del motor automático de Threat Dragon. Además, se aconseja implementar la generación automática de la herramienta, cotejar ambas listas y documentar las discrepancias detectadas.</w:t>
      </w:r>
    </w:p>
    <w:p w14:paraId="49E00117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3" w:name="_Toc900113"/>
      <w:r>
        <w:rPr>
          <w:b/>
          <w:lang w:val="es-GT"/>
        </w:rPr>
        <w:t>4.1 Matriz STRIDE consolidada</w:t>
      </w:r>
      <w:bookmarkEnd w:id="13"/>
    </w:p>
    <w:p w14:paraId="3196A021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5</w:t>
      </w:r>
    </w:p>
    <w:p w14:paraId="7A89E47B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Cantidad de amenazas por elemento y categoría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606"/>
        <w:gridCol w:w="800"/>
        <w:gridCol w:w="800"/>
        <w:gridCol w:w="800"/>
        <w:gridCol w:w="800"/>
        <w:gridCol w:w="800"/>
        <w:gridCol w:w="800"/>
        <w:gridCol w:w="1000"/>
      </w:tblGrid>
      <w:tr w:rsidR="0055664B" w14:paraId="50BA7E7E" w14:textId="77777777">
        <w:trPr>
          <w:cantSplit/>
          <w:tblHeader/>
        </w:trPr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 w14:paraId="170F42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Elemento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3F71B1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S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07A1C2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63BDB09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R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7F2D5B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0A19C0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D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1906BF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E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32E9DC7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Total</w:t>
            </w:r>
          </w:p>
        </w:tc>
      </w:tr>
      <w:tr w:rsidR="0055664B" w14:paraId="782626DA" w14:textId="77777777">
        <w:trPr>
          <w:cantSplit/>
        </w:trPr>
        <w:tc>
          <w:tcPr>
            <w:tcW w:w="3606" w:type="dxa"/>
          </w:tcPr>
          <w:p w14:paraId="1D937E6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Gestión de clientes y cuentas</w:t>
            </w:r>
          </w:p>
        </w:tc>
        <w:tc>
          <w:tcPr>
            <w:tcW w:w="800" w:type="dxa"/>
          </w:tcPr>
          <w:p w14:paraId="3E649B45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4A570D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49E6F2F3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C031E0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EA3026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E9EF9F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23E7369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72E3761B" w14:textId="77777777">
        <w:trPr>
          <w:cantSplit/>
        </w:trPr>
        <w:tc>
          <w:tcPr>
            <w:tcW w:w="3606" w:type="dxa"/>
          </w:tcPr>
          <w:p w14:paraId="6AAD7D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Autenticación y sesión</w:t>
            </w:r>
          </w:p>
        </w:tc>
        <w:tc>
          <w:tcPr>
            <w:tcW w:w="800" w:type="dxa"/>
          </w:tcPr>
          <w:p w14:paraId="1CC388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1446DD4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DA380A5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8B3F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6D08C63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A80F6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3E62E4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64755A82" w14:textId="77777777">
        <w:trPr>
          <w:cantSplit/>
        </w:trPr>
        <w:tc>
          <w:tcPr>
            <w:tcW w:w="3606" w:type="dxa"/>
          </w:tcPr>
          <w:p w14:paraId="1B36D1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</w:t>
            </w:r>
          </w:p>
        </w:tc>
        <w:tc>
          <w:tcPr>
            <w:tcW w:w="800" w:type="dxa"/>
          </w:tcPr>
          <w:p w14:paraId="2113310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84B87B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A36D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0CAA9E23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881518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4214CF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1000" w:type="dxa"/>
          </w:tcPr>
          <w:p w14:paraId="6C9328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7DB4A5B9" w14:textId="77777777">
        <w:trPr>
          <w:cantSplit/>
        </w:trPr>
        <w:tc>
          <w:tcPr>
            <w:tcW w:w="3606" w:type="dxa"/>
          </w:tcPr>
          <w:p w14:paraId="051E25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Servicios SOAP/REST (Apache CXF)</w:t>
            </w:r>
          </w:p>
        </w:tc>
        <w:tc>
          <w:tcPr>
            <w:tcW w:w="800" w:type="dxa"/>
          </w:tcPr>
          <w:p w14:paraId="70A2339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9A1112D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31CBA8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02D667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800" w:type="dxa"/>
          </w:tcPr>
          <w:p w14:paraId="38C1131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620618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1000" w:type="dxa"/>
          </w:tcPr>
          <w:p w14:paraId="1EF024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5</w:t>
            </w:r>
          </w:p>
        </w:tc>
      </w:tr>
      <w:tr w:rsidR="0055664B" w14:paraId="6D8E8565" w14:textId="77777777">
        <w:trPr>
          <w:cantSplit/>
        </w:trPr>
        <w:tc>
          <w:tcPr>
            <w:tcW w:w="3606" w:type="dxa"/>
          </w:tcPr>
          <w:p w14:paraId="1646B4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Base de datos HyperSQL</w:t>
            </w:r>
          </w:p>
        </w:tc>
        <w:tc>
          <w:tcPr>
            <w:tcW w:w="800" w:type="dxa"/>
          </w:tcPr>
          <w:p w14:paraId="31743F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53AEB03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FAA1B7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BEDAC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180D1F9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A82534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04C0A5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2AC15959" w14:textId="77777777">
        <w:trPr>
          <w:cantSplit/>
        </w:trPr>
        <w:tc>
          <w:tcPr>
            <w:tcW w:w="3606" w:type="dxa"/>
          </w:tcPr>
          <w:p w14:paraId="0FA054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ActiveMQ</w:t>
            </w:r>
          </w:p>
        </w:tc>
        <w:tc>
          <w:tcPr>
            <w:tcW w:w="800" w:type="dxa"/>
          </w:tcPr>
          <w:p w14:paraId="14E1FF89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D14F4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67E362E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956ED8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6E2F5D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BFDE98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16F407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23117DE1" w14:textId="77777777">
        <w:trPr>
          <w:cantSplit/>
        </w:trPr>
        <w:tc>
          <w:tcPr>
            <w:tcW w:w="3606" w:type="dxa"/>
          </w:tcPr>
          <w:p w14:paraId="568D6A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Flujo F01</w:t>
            </w:r>
          </w:p>
        </w:tc>
        <w:tc>
          <w:tcPr>
            <w:tcW w:w="800" w:type="dxa"/>
          </w:tcPr>
          <w:p w14:paraId="0A2FE93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B12AFC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6EE6C7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3C3DE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4C46786B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68691F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339981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66D91DD0" w14:textId="77777777">
        <w:trPr>
          <w:cantSplit/>
        </w:trPr>
        <w:tc>
          <w:tcPr>
            <w:tcW w:w="3606" w:type="dxa"/>
          </w:tcPr>
          <w:p w14:paraId="7116F002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Interfaz web (Spring MVC + JSP)</w:t>
            </w:r>
          </w:p>
        </w:tc>
        <w:tc>
          <w:tcPr>
            <w:tcW w:w="800" w:type="dxa"/>
          </w:tcPr>
          <w:p w14:paraId="180283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33823C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265A73C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7183863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7381669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DC0C27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26F02C1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0B13747D" w14:textId="77777777">
        <w:trPr>
          <w:cantSplit/>
        </w:trPr>
        <w:tc>
          <w:tcPr>
            <w:tcW w:w="3606" w:type="dxa"/>
          </w:tcPr>
          <w:p w14:paraId="3259A72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Transferencias, depósitos y pago de facturas</w:t>
            </w:r>
          </w:p>
        </w:tc>
        <w:tc>
          <w:tcPr>
            <w:tcW w:w="800" w:type="dxa"/>
          </w:tcPr>
          <w:p w14:paraId="346D6C6A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4E4E6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3C71DE8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772A18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3ACAD7D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288534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12EF8D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57692875" w14:textId="77777777">
        <w:trPr>
          <w:cantSplit/>
        </w:trPr>
        <w:tc>
          <w:tcPr>
            <w:tcW w:w="3606" w:type="dxa"/>
          </w:tcPr>
          <w:p w14:paraId="046899D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</w:t>
            </w:r>
          </w:p>
        </w:tc>
        <w:tc>
          <w:tcPr>
            <w:tcW w:w="800" w:type="dxa"/>
          </w:tcPr>
          <w:p w14:paraId="3BE3341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652EF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06CB94E5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B1BCC5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7AF37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BDA9EC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0D0A18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3E2BB7E9" w14:textId="77777777">
        <w:trPr>
          <w:cantSplit/>
        </w:trPr>
        <w:tc>
          <w:tcPr>
            <w:tcW w:w="3606" w:type="dxa"/>
          </w:tcPr>
          <w:p w14:paraId="7841FD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</w:t>
            </w:r>
          </w:p>
        </w:tc>
        <w:tc>
          <w:tcPr>
            <w:tcW w:w="800" w:type="dxa"/>
          </w:tcPr>
          <w:p w14:paraId="16AAC26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FF0D1F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4B2F34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202CA844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C4003A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ED829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1000" w:type="dxa"/>
          </w:tcPr>
          <w:p w14:paraId="75CC6A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2F108845" w14:textId="77777777">
        <w:trPr>
          <w:cantSplit/>
        </w:trPr>
        <w:tc>
          <w:tcPr>
            <w:tcW w:w="3606" w:type="dxa"/>
          </w:tcPr>
          <w:p w14:paraId="2E3B3E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Bitácoras (log4j2)</w:t>
            </w:r>
          </w:p>
        </w:tc>
        <w:tc>
          <w:tcPr>
            <w:tcW w:w="800" w:type="dxa"/>
          </w:tcPr>
          <w:p w14:paraId="31DCCB4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E6EFA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028E969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333EE8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A51A7ED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9A4108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061A03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4D7794D4" w14:textId="77777777">
        <w:trPr>
          <w:cantSplit/>
        </w:trPr>
        <w:tc>
          <w:tcPr>
            <w:tcW w:w="3606" w:type="dxa"/>
          </w:tcPr>
          <w:p w14:paraId="28488C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Listener JMS de préstamos</w:t>
            </w:r>
          </w:p>
        </w:tc>
        <w:tc>
          <w:tcPr>
            <w:tcW w:w="800" w:type="dxa"/>
          </w:tcPr>
          <w:p w14:paraId="024D22E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440E0B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7FAB74A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8564954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148053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42FDDA5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1FAD11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45B96A27" w14:textId="77777777">
        <w:trPr>
          <w:cantSplit/>
        </w:trPr>
        <w:tc>
          <w:tcPr>
            <w:tcW w:w="3606" w:type="dxa"/>
          </w:tcPr>
          <w:p w14:paraId="7F9561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Flujo F09</w:t>
            </w:r>
          </w:p>
        </w:tc>
        <w:tc>
          <w:tcPr>
            <w:tcW w:w="800" w:type="dxa"/>
          </w:tcPr>
          <w:p w14:paraId="20C79F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2545FDFA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92D2DE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5468E5F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ED0A6B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599341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216F4B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31301FD5" w14:textId="77777777">
        <w:trPr>
          <w:cantSplit/>
        </w:trPr>
        <w:tc>
          <w:tcPr>
            <w:tcW w:w="3606" w:type="dxa"/>
            <w:tcBorders>
              <w:bottom w:val="single" w:sz="6" w:space="0" w:color="000000"/>
            </w:tcBorders>
          </w:tcPr>
          <w:p w14:paraId="752A21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Total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6C5402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4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6DEAB1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6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5FA94D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7D0F10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5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45E69E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3B6BE7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4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 w14:paraId="35AC61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23</w:t>
            </w:r>
          </w:p>
        </w:tc>
      </w:tr>
    </w:tbl>
    <w:p w14:paraId="1E41F09E" w14:textId="77777777" w:rsidR="0055664B" w:rsidRPr="00C440A6" w:rsidRDefault="00000000">
      <w:pPr>
        <w:spacing w:before="60"/>
        <w:jc w:val="left"/>
      </w:pPr>
      <w:r w:rsidRPr="00C440A6">
        <w:rPr>
          <w:i/>
        </w:rPr>
        <w:t xml:space="preserve">Nota. </w:t>
      </w:r>
      <w:r w:rsidRPr="00C440A6">
        <w:t>S = Spoofing, T = Tampering, R = Repudiation, I = Information Disclosure, D = Denial of Service, E = Elevation of Privilege.</w:t>
      </w:r>
    </w:p>
    <w:p w14:paraId="62B8A6C0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4" w:name="_Toc900114"/>
      <w:r>
        <w:rPr>
          <w:b/>
          <w:lang w:val="es-GT"/>
        </w:rPr>
        <w:t>4.2 Inventario de amenazas y descripción técnica</w:t>
      </w:r>
      <w:bookmarkEnd w:id="14"/>
    </w:p>
    <w:p w14:paraId="60E20D48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La Tabla 6 detalla cada amenaza, indicando el flujo de información, la frontera de confianza que se traspasa y el impacto concreto sobre el componente afectado. La columna final diferencia lo que ha sido confirmado en el código de lo que constituye una hipótesis a verificar.</w:t>
      </w:r>
    </w:p>
    <w:p w14:paraId="5B2474D2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lastRenderedPageBreak/>
        <w:t>Tabla 6</w:t>
      </w:r>
    </w:p>
    <w:p w14:paraId="20A28B2F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Amenazas identificadas con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1700"/>
        <w:gridCol w:w="1200"/>
        <w:gridCol w:w="1300"/>
        <w:gridCol w:w="4606"/>
      </w:tblGrid>
      <w:tr w:rsidR="0055664B" w14:paraId="20974CDF" w14:textId="77777777"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16C25D5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 w14:paraId="3982E51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Amenaza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 w14:paraId="6D9A5B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STRIDE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55AA6D5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Elemento</w:t>
            </w:r>
          </w:p>
        </w:tc>
        <w:tc>
          <w:tcPr>
            <w:tcW w:w="4606" w:type="dxa"/>
            <w:tcBorders>
              <w:top w:val="single" w:sz="6" w:space="0" w:color="000000"/>
              <w:bottom w:val="single" w:sz="6" w:space="0" w:color="000000"/>
            </w:tcBorders>
          </w:tcPr>
          <w:p w14:paraId="0630FE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Descripción técnica y evidencia</w:t>
            </w:r>
          </w:p>
        </w:tc>
      </w:tr>
      <w:tr w:rsidR="0055664B" w14:paraId="594ECDFE" w14:textId="77777777">
        <w:trPr>
          <w:cantSplit/>
        </w:trPr>
        <w:tc>
          <w:tcPr>
            <w:tcW w:w="600" w:type="dxa"/>
          </w:tcPr>
          <w:p w14:paraId="676CDC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1700" w:type="dxa"/>
          </w:tcPr>
          <w:p w14:paraId="565424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Inyección SQL en la actualización de clientes</w:t>
            </w:r>
          </w:p>
        </w:tc>
        <w:tc>
          <w:tcPr>
            <w:tcW w:w="1200" w:type="dxa"/>
          </w:tcPr>
          <w:p w14:paraId="75040C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375BC4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Gestión de clientes y cuentas</w:t>
            </w:r>
          </w:p>
        </w:tc>
        <w:tc>
          <w:tcPr>
            <w:tcW w:w="4606" w:type="dxa"/>
          </w:tcPr>
          <w:p w14:paraId="567ECB6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DAO arma el UPDATE concatenando customer.getFirstName() dentro de la sentencia; el dato cruza TB1 por POST /customers/update/{id} y llega sin parametrizar al motor HyperSQL (F06/G07). Un atacante puede cerrar la cadena e inyectar SQL que altere o exponga filas de Customer. Evidencia: Confirmado en código (JdbcCustomerDao.updateCustomer; el propio comentario indica que el fallo es intencional). Existe SecureJdbcCustomerDao con parámetros</w:t>
            </w:r>
          </w:p>
        </w:tc>
      </w:tr>
      <w:tr w:rsidR="0055664B" w:rsidRPr="00C440A6" w14:paraId="78600E0B" w14:textId="77777777">
        <w:trPr>
          <w:cantSplit/>
        </w:trPr>
        <w:tc>
          <w:tcPr>
            <w:tcW w:w="600" w:type="dxa"/>
          </w:tcPr>
          <w:p w14:paraId="3F41685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</w:tc>
        <w:tc>
          <w:tcPr>
            <w:tcW w:w="1700" w:type="dxa"/>
          </w:tcPr>
          <w:p w14:paraId="4B4D58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Credenciales viajan en la URL (GET /login/{usuario}/{contraseña})</w:t>
            </w:r>
          </w:p>
        </w:tc>
        <w:tc>
          <w:tcPr>
            <w:tcW w:w="1200" w:type="dxa"/>
          </w:tcPr>
          <w:p w14:paraId="713BBBF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1BA7C1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Autenticación y sesión</w:t>
            </w:r>
          </w:p>
        </w:tc>
        <w:tc>
          <w:tcPr>
            <w:tcW w:w="4606" w:type="dxa"/>
          </w:tcPr>
          <w:p w14:paraId="0DB1C85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servicio REST recibe usuario y contraseña como segmentos de la ruta. Al cruzar TB1 quedan en el historial del navegador, en logs de Tomcat, proxies y cabeceras Referer, aun si el canal fuera cifrado. Evidencia: Confirmado en código (@Path("/login/{username}/{password}") en ParaBankService)</w:t>
            </w:r>
          </w:p>
        </w:tc>
      </w:tr>
      <w:tr w:rsidR="0055664B" w:rsidRPr="00C440A6" w14:paraId="61976AF7" w14:textId="77777777">
        <w:trPr>
          <w:cantSplit/>
        </w:trPr>
        <w:tc>
          <w:tcPr>
            <w:tcW w:w="600" w:type="dxa"/>
          </w:tcPr>
          <w:p w14:paraId="1807A4A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1700" w:type="dxa"/>
          </w:tcPr>
          <w:p w14:paraId="78452A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Páginas de administración fuera del control de sesión</w:t>
            </w:r>
          </w:p>
        </w:tc>
        <w:tc>
          <w:tcPr>
            <w:tcW w:w="1200" w:type="dxa"/>
          </w:tcPr>
          <w:p w14:paraId="108AF6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3E10CA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Administración y utilidades</w:t>
            </w:r>
          </w:p>
        </w:tc>
        <w:tc>
          <w:tcPr>
            <w:tcW w:w="4606" w:type="dxa"/>
          </w:tcPr>
          <w:p w14:paraId="25419F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mapeo protegido por LoginInterceptor solo cubre nueve páginas de cliente; admin.htm, db.htm, initializeDB.htm y jms.htm no figuran, por lo que cualquiera que llegue a Tomcat podría cambiar parámetros, reiniciar la BD o detener el listener JMS (F10, F11, F13). Evidencia: Confirmado en parabank-servlet.xml (secureHandlerMapping). A validar: que no exista otro filtro o regla de red</w:t>
            </w:r>
          </w:p>
        </w:tc>
      </w:tr>
      <w:tr w:rsidR="0055664B" w:rsidRPr="00C440A6" w14:paraId="7CB2BB1A" w14:textId="77777777">
        <w:trPr>
          <w:cantSplit/>
        </w:trPr>
        <w:tc>
          <w:tcPr>
            <w:tcW w:w="600" w:type="dxa"/>
          </w:tcPr>
          <w:p w14:paraId="08EF6B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1700" w:type="dxa"/>
          </w:tcPr>
          <w:p w14:paraId="640100E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1200" w:type="dxa"/>
          </w:tcPr>
          <w:p w14:paraId="158BF8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35D89A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519C854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interfaz de servicio publica operaciones destructivas y de configuración sin mecanismo de autenticación visible en la propia interfaz. Un cliente API externo que cruza TB1 puede borrar datos, reinicializar la BD o apagar la mensajería (F03, F05). Evidencia: Confirmado la exposición de rutas en ParaBankService. A validar: ausencia de control de acceso en la implementación</w:t>
            </w:r>
          </w:p>
        </w:tc>
      </w:tr>
      <w:tr w:rsidR="0055664B" w:rsidRPr="00C440A6" w14:paraId="2F9CBC79" w14:textId="77777777">
        <w:trPr>
          <w:cantSplit/>
        </w:trPr>
        <w:tc>
          <w:tcPr>
            <w:tcW w:w="600" w:type="dxa"/>
          </w:tcPr>
          <w:p w14:paraId="6FC0D6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1700" w:type="dxa"/>
          </w:tcPr>
          <w:p w14:paraId="53ECD3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Acceso a cuentas y clientes ajenos mediante identificadores (BOLA/IDOR)</w:t>
            </w:r>
          </w:p>
        </w:tc>
        <w:tc>
          <w:tcPr>
            <w:tcW w:w="1200" w:type="dxa"/>
          </w:tcPr>
          <w:p w14:paraId="3F6D54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604FFB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776318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Rutas como /accounts/{accountId}, /customers/{customerId} y /transactions/{id} reciben identificadores secuenciales; la interfaz no muestra verificación de que el recurso pertenezca al llamante. Un atacante autenticado o anónimo puede enumerar identificadores y leer datos personales y financieros (F03, F05). Evidencia: Hipótesis a validar con pruebas autorizadas: la interfaz no muestra control de propiedad del recurso</w:t>
            </w:r>
          </w:p>
        </w:tc>
      </w:tr>
      <w:tr w:rsidR="0055664B" w:rsidRPr="00C440A6" w14:paraId="20B47805" w14:textId="77777777">
        <w:trPr>
          <w:cantSplit/>
        </w:trPr>
        <w:tc>
          <w:tcPr>
            <w:tcW w:w="600" w:type="dxa"/>
          </w:tcPr>
          <w:p w14:paraId="2AF74D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1700" w:type="dxa"/>
          </w:tcPr>
          <w:p w14:paraId="6C5925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Contraseñas y SSN almacenados sin protección criptográfica</w:t>
            </w:r>
          </w:p>
        </w:tc>
        <w:tc>
          <w:tcPr>
            <w:tcW w:w="1200" w:type="dxa"/>
          </w:tcPr>
          <w:p w14:paraId="32FF50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07B391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Base de datos HyperSQL</w:t>
            </w:r>
          </w:p>
        </w:tc>
        <w:tc>
          <w:tcPr>
            <w:tcW w:w="4606" w:type="dxa"/>
          </w:tcPr>
          <w:p w14:paraId="0ED872B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tabla Customer guarda password y ssn y el login compara el valor directamente en SQL (username = ? AND password = ?), lo que implica almacenamiento en texto claro. Una lectura de la BD (por ejemplo vía T01 o por el puerto 9001) expone credenciales y datos de identidad (F06). Evidencia: Confirmado en código (JdbcCustomerDao: BASE_QUERY_SQL y consulta de login)</w:t>
            </w:r>
          </w:p>
        </w:tc>
      </w:tr>
      <w:tr w:rsidR="0055664B" w14:paraId="05955C7B" w14:textId="77777777">
        <w:trPr>
          <w:cantSplit/>
        </w:trPr>
        <w:tc>
          <w:tcPr>
            <w:tcW w:w="600" w:type="dxa"/>
          </w:tcPr>
          <w:p w14:paraId="466D26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1700" w:type="dxa"/>
          </w:tcPr>
          <w:p w14:paraId="646A7E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Cuenta sa sin contraseña y puerto HyperSQL 9001 accesible</w:t>
            </w:r>
          </w:p>
        </w:tc>
        <w:tc>
          <w:tcPr>
            <w:tcW w:w="1200" w:type="dxa"/>
          </w:tcPr>
          <w:p w14:paraId="6495F0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</w:tcPr>
          <w:p w14:paraId="6727C5A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Base de datos HyperSQL</w:t>
            </w:r>
          </w:p>
        </w:tc>
        <w:tc>
          <w:tcPr>
            <w:tcW w:w="4606" w:type="dxa"/>
          </w:tcPr>
          <w:p w14:paraId="7BD716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jdbc.properties define jdbc.username=sa con contraseña vacía y el servidor HyperSQL escucha por TCP (9001). Cualquier host con alcance de red puede conectarse como administrador de la BD y saltar toda la lógica de la aplicación (F06, F11). Evidencia: Confirmado en jdbc.properties y README (puerto 9001)</w:t>
            </w:r>
          </w:p>
        </w:tc>
      </w:tr>
      <w:tr w:rsidR="0055664B" w:rsidRPr="00C440A6" w14:paraId="2718A744" w14:textId="77777777">
        <w:trPr>
          <w:cantSplit/>
        </w:trPr>
        <w:tc>
          <w:tcPr>
            <w:tcW w:w="600" w:type="dxa"/>
          </w:tcPr>
          <w:p w14:paraId="4E098A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1700" w:type="dxa"/>
          </w:tcPr>
          <w:p w14:paraId="5F1B52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 en 0.0.0.0:61616 sin autenticación configurada</w:t>
            </w:r>
          </w:p>
        </w:tc>
        <w:tc>
          <w:tcPr>
            <w:tcW w:w="1200" w:type="dxa"/>
          </w:tcPr>
          <w:p w14:paraId="363969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5381A1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</w:t>
            </w:r>
          </w:p>
        </w:tc>
        <w:tc>
          <w:tcPr>
            <w:tcW w:w="4606" w:type="dxa"/>
          </w:tcPr>
          <w:p w14:paraId="2F0D2A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broker se publica en todas las interfaces y la configuración no declara plugin de autenticación ni autorización. Un tercero puede inyectar o leer mensajes de solicitud y respuesta de préstamos que cruzan TB2 (F08). Evidencia: Confirmado en applicationContext-jms.xml (transportConnector tcp://0.0.0.0:61616; sin plugin de seguridad en ese bloque)</w:t>
            </w:r>
          </w:p>
        </w:tc>
      </w:tr>
      <w:tr w:rsidR="0055664B" w:rsidRPr="00C440A6" w14:paraId="68D15E16" w14:textId="77777777">
        <w:trPr>
          <w:cantSplit/>
        </w:trPr>
        <w:tc>
          <w:tcPr>
            <w:tcW w:w="600" w:type="dxa"/>
          </w:tcPr>
          <w:p w14:paraId="77D5B3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1700" w:type="dxa"/>
          </w:tcPr>
          <w:p w14:paraId="5C466B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Tráfico HTTP sin TLS: credenciales y cookie de sesión interceptables</w:t>
            </w:r>
          </w:p>
        </w:tc>
        <w:tc>
          <w:tcPr>
            <w:tcW w:w="1200" w:type="dxa"/>
          </w:tcPr>
          <w:p w14:paraId="148F79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5F3B18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Flujo F01</w:t>
            </w:r>
          </w:p>
        </w:tc>
        <w:tc>
          <w:tcPr>
            <w:tcW w:w="4606" w:type="dxa"/>
          </w:tcPr>
          <w:p w14:paraId="792A5A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despliegue por defecto en Tomcat usa HTTP. Los flujos F01, F02, F03 y F10 cruzan la frontera de Internet con Provides Confidentiality = No e Integrity = No, de modo que un atacante en la ruta puede leer credenciales y cookie JSESSIONID o modificar montos. Evidencia: Supuesto de despliegue por defecto; depende de la instalación</w:t>
            </w:r>
          </w:p>
        </w:tc>
      </w:tr>
      <w:tr w:rsidR="0055664B" w:rsidRPr="00C440A6" w14:paraId="1B2A203E" w14:textId="77777777">
        <w:trPr>
          <w:cantSplit/>
        </w:trPr>
        <w:tc>
          <w:tcPr>
            <w:tcW w:w="600" w:type="dxa"/>
          </w:tcPr>
          <w:p w14:paraId="43135C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1700" w:type="dxa"/>
          </w:tcPr>
          <w:p w14:paraId="58D4DF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CSRF sobre transferencias y pagos</w:t>
            </w:r>
          </w:p>
        </w:tc>
        <w:tc>
          <w:tcPr>
            <w:tcW w:w="1200" w:type="dxa"/>
          </w:tcPr>
          <w:p w14:paraId="797EFF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18214C2F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Interfaz web (Spring MVC + JSP)</w:t>
            </w:r>
          </w:p>
        </w:tc>
        <w:tc>
          <w:tcPr>
            <w:tcW w:w="4606" w:type="dxa"/>
          </w:tcPr>
          <w:p w14:paraId="50745D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No se encontraron referencias a token anti-CSRF en el código. Una página maliciosa puede hacer que el navegador de la víctima, con sesión activa, envíe un POST a transfer.htm o billpay.htm sin su consentimiento (F01). Evidencia: Hipótesis: búsqueda de 'csrf' sin resultados en el código fuente analizado</w:t>
            </w:r>
          </w:p>
        </w:tc>
      </w:tr>
      <w:tr w:rsidR="0055664B" w:rsidRPr="00C440A6" w14:paraId="45216F34" w14:textId="77777777">
        <w:trPr>
          <w:cantSplit/>
        </w:trPr>
        <w:tc>
          <w:tcPr>
            <w:tcW w:w="600" w:type="dxa"/>
          </w:tcPr>
          <w:p w14:paraId="3A23A2A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T11</w:t>
            </w:r>
          </w:p>
        </w:tc>
        <w:tc>
          <w:tcPr>
            <w:tcW w:w="1700" w:type="dxa"/>
          </w:tcPr>
          <w:p w14:paraId="04236F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Manipulación de monto o cuenta en operaciones monetarias</w:t>
            </w:r>
          </w:p>
        </w:tc>
        <w:tc>
          <w:tcPr>
            <w:tcW w:w="1200" w:type="dxa"/>
          </w:tcPr>
          <w:p w14:paraId="5E7F40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52CABE2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Transferencias, depósitos y pago de facturas</w:t>
            </w:r>
          </w:p>
        </w:tc>
        <w:tc>
          <w:tcPr>
            <w:tcW w:w="4606" w:type="dxa"/>
          </w:tcPr>
          <w:p w14:paraId="46EE759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Monto, cuenta origen y destino llegan como parámetros del cliente a /transfer, /deposit, /withdraw y /billpay (G02). Sin validación de negocio en el servidor ni integridad del canal, un atacante puede modificar el monto o ejecutar operaciones en nombre de otro. Evidencia: Hipótesis a validar: depende de las validaciones de la implementación del servicio</w:t>
            </w:r>
          </w:p>
        </w:tc>
      </w:tr>
      <w:tr w:rsidR="0055664B" w:rsidRPr="00C440A6" w14:paraId="2B23DB06" w14:textId="77777777">
        <w:trPr>
          <w:cantSplit/>
        </w:trPr>
        <w:tc>
          <w:tcPr>
            <w:tcW w:w="600" w:type="dxa"/>
          </w:tcPr>
          <w:p w14:paraId="2EB3FF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1700" w:type="dxa"/>
          </w:tcPr>
          <w:p w14:paraId="4A6A04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Fuerza bruta y credential stuffing sobre el login</w:t>
            </w:r>
          </w:p>
        </w:tc>
        <w:tc>
          <w:tcPr>
            <w:tcW w:w="1200" w:type="dxa"/>
          </w:tcPr>
          <w:p w14:paraId="6040C9E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</w:tcPr>
          <w:p w14:paraId="308E00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Autenticación y sesión</w:t>
            </w:r>
          </w:p>
        </w:tc>
        <w:tc>
          <w:tcPr>
            <w:tcW w:w="4606" w:type="dxa"/>
          </w:tcPr>
          <w:p w14:paraId="52A8A7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No se observa limitación de intentos ni bloqueo de cuenta; el login por ruta facilita el scripting masivo (G01, G05). Un atacante con listas de credenciales filtradas puede suplantar clientes legítimos. Evidencia: Hipótesis: no se identificó rate limiting ni bloqueo en el código revisado</w:t>
            </w:r>
          </w:p>
        </w:tc>
      </w:tr>
      <w:tr w:rsidR="0055664B" w:rsidRPr="00C440A6" w14:paraId="4AE420A5" w14:textId="77777777">
        <w:trPr>
          <w:cantSplit/>
        </w:trPr>
        <w:tc>
          <w:tcPr>
            <w:tcW w:w="600" w:type="dxa"/>
          </w:tcPr>
          <w:p w14:paraId="19963A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</w:tc>
        <w:tc>
          <w:tcPr>
            <w:tcW w:w="1700" w:type="dxa"/>
          </w:tcPr>
          <w:p w14:paraId="334328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Alteración del umbral de aprobación de préstamos y del modo de acceso</w:t>
            </w:r>
          </w:p>
        </w:tc>
        <w:tc>
          <w:tcPr>
            <w:tcW w:w="1200" w:type="dxa"/>
          </w:tcPr>
          <w:p w14:paraId="32734B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0C18965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Procesador de préstamos</w:t>
            </w:r>
          </w:p>
        </w:tc>
        <w:tc>
          <w:tcPr>
            <w:tcW w:w="4606" w:type="dxa"/>
          </w:tcPr>
          <w:p w14:paraId="264BF4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loanProcessorThreshold y accessmode se leen de la tabla Parameter y pueden modificarse con setParameter o admin.htm. Combinado con las amenazas de acceso administrativo, un atacante puede forzar aprobaciones fraudulentas de préstamos (F13). Evidencia: Confirmado el uso del parámetro en AbstractLoanProcessor; la explotación depende de T03 y T04</w:t>
            </w:r>
          </w:p>
        </w:tc>
      </w:tr>
      <w:tr w:rsidR="0055664B" w14:paraId="0BFF7FE0" w14:textId="77777777">
        <w:trPr>
          <w:cantSplit/>
        </w:trPr>
        <w:tc>
          <w:tcPr>
            <w:tcW w:w="600" w:type="dxa"/>
          </w:tcPr>
          <w:p w14:paraId="2CC524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1700" w:type="dxa"/>
          </w:tcPr>
          <w:p w14:paraId="22216B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Cabeceras CORS abiertas a cualquier origen</w:t>
            </w:r>
          </w:p>
        </w:tc>
        <w:tc>
          <w:tcPr>
            <w:tcW w:w="1200" w:type="dxa"/>
          </w:tcPr>
          <w:p w14:paraId="771A22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40B4D5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7480CB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ParaBankService está anotado con @CrossOriginResourceSharing(allowAllOrigins = true). Cualquier sitio web puede invocar la API desde el navegador de un usuario autenticado y leer la respuesta (F03). Evidencia: Confirmado en código (ParaBankService)</w:t>
            </w:r>
          </w:p>
        </w:tc>
      </w:tr>
      <w:tr w:rsidR="0055664B" w:rsidRPr="00C440A6" w14:paraId="7C59A59D" w14:textId="77777777">
        <w:trPr>
          <w:cantSplit/>
        </w:trPr>
        <w:tc>
          <w:tcPr>
            <w:tcW w:w="600" w:type="dxa"/>
          </w:tcPr>
          <w:p w14:paraId="63D9780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1700" w:type="dxa"/>
          </w:tcPr>
          <w:p w14:paraId="28DECBE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Falta de no repudio en transacciones</w:t>
            </w:r>
          </w:p>
        </w:tc>
        <w:tc>
          <w:tcPr>
            <w:tcW w:w="1200" w:type="dxa"/>
          </w:tcPr>
          <w:p w14:paraId="064261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Repudiation</w:t>
            </w:r>
          </w:p>
        </w:tc>
        <w:tc>
          <w:tcPr>
            <w:tcW w:w="1300" w:type="dxa"/>
          </w:tcPr>
          <w:p w14:paraId="3BA03E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Lógica de negocio y DAO</w:t>
            </w:r>
          </w:p>
        </w:tc>
        <w:tc>
          <w:tcPr>
            <w:tcW w:w="4606" w:type="dxa"/>
          </w:tcPr>
          <w:p w14:paraId="0D9085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Las transacciones no llevan firma ni sello de tiempo verificable del cliente; si este niega una operación, el banco solo cuenta con su propio registro (F04, F12). Evidencia: Hipótesis: no se hallaron firmas ni confirmación fuerte de operaciones</w:t>
            </w:r>
          </w:p>
        </w:tc>
      </w:tr>
      <w:tr w:rsidR="0055664B" w14:paraId="6D45D7C1" w14:textId="77777777">
        <w:trPr>
          <w:cantSplit/>
        </w:trPr>
        <w:tc>
          <w:tcPr>
            <w:tcW w:w="600" w:type="dxa"/>
          </w:tcPr>
          <w:p w14:paraId="16336DE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1700" w:type="dxa"/>
          </w:tcPr>
          <w:p w14:paraId="4E0BDFC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Acciones administrativas sin identidad ni auditoría</w:t>
            </w:r>
          </w:p>
        </w:tc>
        <w:tc>
          <w:tcPr>
            <w:tcW w:w="1200" w:type="dxa"/>
          </w:tcPr>
          <w:p w14:paraId="3893C8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Repudiation</w:t>
            </w:r>
          </w:p>
        </w:tc>
        <w:tc>
          <w:tcPr>
            <w:tcW w:w="1300" w:type="dxa"/>
          </w:tcPr>
          <w:p w14:paraId="18886A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Administración y utilidades</w:t>
            </w:r>
          </w:p>
        </w:tc>
        <w:tc>
          <w:tcPr>
            <w:tcW w:w="4606" w:type="dxa"/>
          </w:tcPr>
          <w:p w14:paraId="44723A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Como el módulo administrativo no exige autenticación, los cambios de parámetros, reinicios de BD y paradas de JMS no pueden atribuirse a una persona (F10, F11, F13). Evidencia: Consecuencia de T03; a validar</w:t>
            </w:r>
          </w:p>
        </w:tc>
      </w:tr>
      <w:tr w:rsidR="0055664B" w14:paraId="2C0DC22C" w14:textId="77777777">
        <w:trPr>
          <w:cantSplit/>
        </w:trPr>
        <w:tc>
          <w:tcPr>
            <w:tcW w:w="600" w:type="dxa"/>
          </w:tcPr>
          <w:p w14:paraId="2B7303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1700" w:type="dxa"/>
          </w:tcPr>
          <w:p w14:paraId="7665662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modificables y con datos sensibles</w:t>
            </w:r>
          </w:p>
        </w:tc>
        <w:tc>
          <w:tcPr>
            <w:tcW w:w="1200" w:type="dxa"/>
          </w:tcPr>
          <w:p w14:paraId="2B0DA79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45E3EE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(log4j2)</w:t>
            </w:r>
          </w:p>
        </w:tc>
        <w:tc>
          <w:tcPr>
            <w:tcW w:w="4606" w:type="dxa"/>
          </w:tcPr>
          <w:p w14:paraId="544D143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Los logs de log4j2 se escriben en archivo local sin protección de integridad; un atacante con acceso al host puede borrar rastros, y los registros pueden contener identificadores de clientes (F12). Evidencia: Hipótesis: configuración de log4j2 por defecto</w:t>
            </w:r>
          </w:p>
        </w:tc>
      </w:tr>
      <w:tr w:rsidR="0055664B" w14:paraId="208EF2BE" w14:textId="77777777">
        <w:trPr>
          <w:cantSplit/>
        </w:trPr>
        <w:tc>
          <w:tcPr>
            <w:tcW w:w="600" w:type="dxa"/>
          </w:tcPr>
          <w:p w14:paraId="26DEE8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T18</w:t>
            </w:r>
          </w:p>
        </w:tc>
        <w:tc>
          <w:tcPr>
            <w:tcW w:w="1700" w:type="dxa"/>
          </w:tcPr>
          <w:p w14:paraId="5082B56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Denegación de servicio por API sin límites</w:t>
            </w:r>
          </w:p>
        </w:tc>
        <w:tc>
          <w:tcPr>
            <w:tcW w:w="1200" w:type="dxa"/>
          </w:tcPr>
          <w:p w14:paraId="41760B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Denial of Service</w:t>
            </w:r>
          </w:p>
        </w:tc>
        <w:tc>
          <w:tcPr>
            <w:tcW w:w="1300" w:type="dxa"/>
          </w:tcPr>
          <w:p w14:paraId="68AAF5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018D30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Sin rate limiting ni cuotas, un cliente puede saturar Tomcat o la BD con peticiones masivas (F03, F05, F06). Evidencia: Hipótesis: no se identificó limitación de tasa</w:t>
            </w:r>
          </w:p>
        </w:tc>
      </w:tr>
      <w:tr w:rsidR="0055664B" w14:paraId="7ACCA221" w14:textId="77777777">
        <w:trPr>
          <w:cantSplit/>
        </w:trPr>
        <w:tc>
          <w:tcPr>
            <w:tcW w:w="600" w:type="dxa"/>
          </w:tcPr>
          <w:p w14:paraId="2703389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1700" w:type="dxa"/>
          </w:tcPr>
          <w:p w14:paraId="419EEE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Inundación de solicitudes de préstamo sobre la cola JMS</w:t>
            </w:r>
          </w:p>
        </w:tc>
        <w:tc>
          <w:tcPr>
            <w:tcW w:w="1200" w:type="dxa"/>
          </w:tcPr>
          <w:p w14:paraId="093D27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Denial of Service</w:t>
            </w:r>
          </w:p>
        </w:tc>
        <w:tc>
          <w:tcPr>
            <w:tcW w:w="1300" w:type="dxa"/>
          </w:tcPr>
          <w:p w14:paraId="0A2BB6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Listener JMS de préstamos</w:t>
            </w:r>
          </w:p>
        </w:tc>
        <w:tc>
          <w:tcPr>
            <w:tcW w:w="4606" w:type="dxa"/>
          </w:tcPr>
          <w:p w14:paraId="4A069D4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listener usa 5 consumidores concurrentes y el broker no es persistente; una avalancha de solicitudes puede saturar la cola o perder mensajes legítimos (G08, G09). Evidencia: Confirmado en applicationContext-jms.xml (concurrentConsumers=5; persistent=false)</w:t>
            </w:r>
          </w:p>
        </w:tc>
      </w:tr>
      <w:tr w:rsidR="0055664B" w14:paraId="5ABA1E45" w14:textId="77777777">
        <w:trPr>
          <w:cantSplit/>
        </w:trPr>
        <w:tc>
          <w:tcPr>
            <w:tcW w:w="600" w:type="dxa"/>
          </w:tcPr>
          <w:p w14:paraId="1774B71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1700" w:type="dxa"/>
          </w:tcPr>
          <w:p w14:paraId="739FAA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del proveedor de préstamos o respuesta falsa</w:t>
            </w:r>
          </w:p>
        </w:tc>
        <w:tc>
          <w:tcPr>
            <w:tcW w:w="1200" w:type="dxa"/>
          </w:tcPr>
          <w:p w14:paraId="4F4A47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</w:tcPr>
          <w:p w14:paraId="6F9491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Flujo F09</w:t>
            </w:r>
          </w:p>
        </w:tc>
        <w:tc>
          <w:tcPr>
            <w:tcW w:w="4606" w:type="dxa"/>
          </w:tcPr>
          <w:p w14:paraId="3195CBD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respuesta del proveedor cruza TB3 por WS/JMS; sin autenticación mutua ni firma, un tercero puede responder aprobaciones falsas. Evidencia: Hipótesis: depende de la configuración del proveedor</w:t>
            </w:r>
          </w:p>
        </w:tc>
      </w:tr>
      <w:tr w:rsidR="0055664B" w:rsidRPr="00C440A6" w14:paraId="131DAF6E" w14:textId="77777777">
        <w:trPr>
          <w:cantSplit/>
        </w:trPr>
        <w:tc>
          <w:tcPr>
            <w:tcW w:w="600" w:type="dxa"/>
          </w:tcPr>
          <w:p w14:paraId="312820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1700" w:type="dxa"/>
          </w:tcPr>
          <w:p w14:paraId="6B6524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Procesamiento XML inseguro en servicios SOAP (XXE)</w:t>
            </w:r>
          </w:p>
        </w:tc>
        <w:tc>
          <w:tcPr>
            <w:tcW w:w="1200" w:type="dxa"/>
          </w:tcPr>
          <w:p w14:paraId="2224B19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74BD77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238DD4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Los endpoints SOAP procesan XML con JAXB/CXF; si el parser permite entidades externas, un mensaje manipulado puede leer archivos del servidor o provocar SSRF (F03). Evidencia: Hipótesis a validar con revisión de la configuración del parser</w:t>
            </w:r>
          </w:p>
        </w:tc>
      </w:tr>
      <w:tr w:rsidR="0055664B" w:rsidRPr="00C440A6" w14:paraId="07C57D6C" w14:textId="77777777">
        <w:trPr>
          <w:cantSplit/>
        </w:trPr>
        <w:tc>
          <w:tcPr>
            <w:tcW w:w="600" w:type="dxa"/>
          </w:tcPr>
          <w:p w14:paraId="74DFD7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1700" w:type="dxa"/>
          </w:tcPr>
          <w:p w14:paraId="4A608FC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Dependencias de terceros sin gestión de vulnerabilidades</w:t>
            </w:r>
          </w:p>
        </w:tc>
        <w:tc>
          <w:tcPr>
            <w:tcW w:w="1200" w:type="dxa"/>
          </w:tcPr>
          <w:p w14:paraId="7577F5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162311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Lógica de negocio y DAO</w:t>
            </w:r>
          </w:p>
        </w:tc>
        <w:tc>
          <w:tcPr>
            <w:tcW w:w="4606" w:type="dxa"/>
          </w:tcPr>
          <w:p w14:paraId="5A519B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aplicación depende de Spring, CXF, WSS4J, ActiveMQ y Tomcat. Una vulnerabilidad conocida en cualquiera permite ejecución remota o escalamiento sin tocar el código propio. Evidencia: Riesgo general de cadena de suministro; verificable con SCA sobre pom.xml</w:t>
            </w:r>
          </w:p>
        </w:tc>
      </w:tr>
      <w:tr w:rsidR="0055664B" w:rsidRPr="00C440A6" w14:paraId="21C4AECD" w14:textId="77777777"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 w14:paraId="3E6948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 w14:paraId="68061CB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Cookie de sesión sin atributos de endurecimiento verificados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 w14:paraId="4D8955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28AD7CD4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Interfaz web (Spring MVC + JSP)</w:t>
            </w:r>
          </w:p>
        </w:tc>
        <w:tc>
          <w:tcPr>
            <w:tcW w:w="4606" w:type="dxa"/>
            <w:tcBorders>
              <w:bottom w:val="single" w:sz="6" w:space="0" w:color="000000"/>
            </w:tcBorders>
          </w:tcPr>
          <w:p w14:paraId="229AA5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No se verificó que JSESSIONID use Secure, HttpOnly y SameSite ni que exista timeout por inactividad; una sesión robada permite suplantar al cliente (F02). Evidencia: Hipótesis a validar en web.xml y en la configuración de Tomcat</w:t>
            </w:r>
          </w:p>
        </w:tc>
      </w:tr>
    </w:tbl>
    <w:p w14:paraId="1172C5EB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base en el código de ParaBank (Parasoft, 2026).</w:t>
      </w:r>
    </w:p>
    <w:p w14:paraId="7B1F7ADF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5" w:name="_Toc900115"/>
      <w:r>
        <w:rPr>
          <w:b/>
          <w:lang w:val="es-GT"/>
        </w:rPr>
        <w:lastRenderedPageBreak/>
        <w:t>4.3 Registro de validación técnica</w:t>
      </w:r>
      <w:bookmarkEnd w:id="15"/>
    </w:p>
    <w:p w14:paraId="01B9A730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7</w:t>
      </w:r>
    </w:p>
    <w:p w14:paraId="4A4F9EC0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Verificaciones realizadas contra el código fuente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300"/>
        <w:gridCol w:w="6106"/>
      </w:tblGrid>
      <w:tr w:rsidR="0055664B" w14:paraId="18805BC5" w14:textId="77777777">
        <w:trPr>
          <w:cantSplit/>
          <w:tblHeader/>
        </w:trPr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 w14:paraId="6B89FC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Verificación</w:t>
            </w:r>
          </w:p>
        </w:tc>
        <w:tc>
          <w:tcPr>
            <w:tcW w:w="6106" w:type="dxa"/>
            <w:tcBorders>
              <w:top w:val="single" w:sz="6" w:space="0" w:color="000000"/>
              <w:bottom w:val="single" w:sz="6" w:space="0" w:color="000000"/>
            </w:tcBorders>
          </w:tcPr>
          <w:p w14:paraId="27984A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Resultado</w:t>
            </w:r>
          </w:p>
        </w:tc>
      </w:tr>
      <w:tr w:rsidR="0055664B" w:rsidRPr="00C440A6" w14:paraId="7A9FBB5D" w14:textId="77777777">
        <w:trPr>
          <w:cantSplit/>
        </w:trPr>
        <w:tc>
          <w:tcPr>
            <w:tcW w:w="3300" w:type="dxa"/>
          </w:tcPr>
          <w:p w14:paraId="0F4D41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Rutas protegidas por LoginInterceptor</w:t>
            </w:r>
          </w:p>
        </w:tc>
        <w:tc>
          <w:tcPr>
            <w:tcW w:w="6106" w:type="dxa"/>
          </w:tcPr>
          <w:p w14:paraId="21E8CA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Solo nueve páginas de cliente en secureHandlerMapping; no incluye admin, db, initializeDB ni jms (T03)</w:t>
            </w:r>
          </w:p>
        </w:tc>
      </w:tr>
      <w:tr w:rsidR="0055664B" w:rsidRPr="00C440A6" w14:paraId="22F16FA4" w14:textId="77777777">
        <w:trPr>
          <w:cantSplit/>
        </w:trPr>
        <w:tc>
          <w:tcPr>
            <w:tcW w:w="3300" w:type="dxa"/>
          </w:tcPr>
          <w:p w14:paraId="5CE3DB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Acceso a datos</w:t>
            </w:r>
          </w:p>
        </w:tc>
        <w:tc>
          <w:tcPr>
            <w:tcW w:w="6106" w:type="dxa"/>
          </w:tcPr>
          <w:p w14:paraId="2C6467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El UPDATE de Customer concatena firstName (T01); el resto de los DAO usa parámetros</w:t>
            </w:r>
          </w:p>
        </w:tc>
      </w:tr>
      <w:tr w:rsidR="0055664B" w:rsidRPr="00C440A6" w14:paraId="747D7D16" w14:textId="77777777">
        <w:trPr>
          <w:cantSplit/>
        </w:trPr>
        <w:tc>
          <w:tcPr>
            <w:tcW w:w="3300" w:type="dxa"/>
          </w:tcPr>
          <w:p w14:paraId="23549E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Credenciales de la base de datos</w:t>
            </w:r>
          </w:p>
        </w:tc>
        <w:tc>
          <w:tcPr>
            <w:tcW w:w="6106" w:type="dxa"/>
          </w:tcPr>
          <w:p w14:paraId="005914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jdbc.username=sa con contraseña vacía (T07)</w:t>
            </w:r>
          </w:p>
        </w:tc>
      </w:tr>
      <w:tr w:rsidR="0055664B" w:rsidRPr="00C440A6" w14:paraId="0240F757" w14:textId="77777777">
        <w:trPr>
          <w:cantSplit/>
        </w:trPr>
        <w:tc>
          <w:tcPr>
            <w:tcW w:w="3300" w:type="dxa"/>
          </w:tcPr>
          <w:p w14:paraId="0D349A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de mensajería</w:t>
            </w:r>
          </w:p>
        </w:tc>
        <w:tc>
          <w:tcPr>
            <w:tcW w:w="6106" w:type="dxa"/>
          </w:tcPr>
          <w:p w14:paraId="3615ED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tcp://0.0.0.0:61616 sin plugin de seguridad en ese bloque (T08)</w:t>
            </w:r>
          </w:p>
        </w:tc>
      </w:tr>
      <w:tr w:rsidR="0055664B" w14:paraId="283ABC8C" w14:textId="77777777">
        <w:trPr>
          <w:cantSplit/>
        </w:trPr>
        <w:tc>
          <w:tcPr>
            <w:tcW w:w="3300" w:type="dxa"/>
          </w:tcPr>
          <w:p w14:paraId="115D68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CORS</w:t>
            </w:r>
          </w:p>
        </w:tc>
        <w:tc>
          <w:tcPr>
            <w:tcW w:w="6106" w:type="dxa"/>
          </w:tcPr>
          <w:p w14:paraId="47732A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@CrossOriginResourceSharing(allowAllOrigins = true) (T14)</w:t>
            </w:r>
          </w:p>
        </w:tc>
      </w:tr>
      <w:tr w:rsidR="0055664B" w:rsidRPr="00C440A6" w14:paraId="082E52AF" w14:textId="77777777">
        <w:trPr>
          <w:cantSplit/>
        </w:trPr>
        <w:tc>
          <w:tcPr>
            <w:tcW w:w="3300" w:type="dxa"/>
          </w:tcPr>
          <w:p w14:paraId="706009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Token anti-CSRF</w:t>
            </w:r>
          </w:p>
        </w:tc>
        <w:tc>
          <w:tcPr>
            <w:tcW w:w="6106" w:type="dxa"/>
          </w:tcPr>
          <w:p w14:paraId="2F526D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La búsqueda de «csrf» en el código no arrojó resultados (T10)</w:t>
            </w:r>
          </w:p>
        </w:tc>
      </w:tr>
      <w:tr w:rsidR="0055664B" w:rsidRPr="00C440A6" w14:paraId="74FEC463" w14:textId="77777777">
        <w:trPr>
          <w:cantSplit/>
        </w:trPr>
        <w:tc>
          <w:tcPr>
            <w:tcW w:w="3300" w:type="dxa"/>
            <w:tcBorders>
              <w:bottom w:val="single" w:sz="6" w:space="0" w:color="000000"/>
            </w:tcBorders>
          </w:tcPr>
          <w:p w14:paraId="7426B7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Validación con Arquitectura y Desarrollo</w:t>
            </w:r>
          </w:p>
        </w:tc>
        <w:tc>
          <w:tcPr>
            <w:tcW w:w="6106" w:type="dxa"/>
            <w:tcBorders>
              <w:bottom w:val="single" w:sz="6" w:space="0" w:color="000000"/>
            </w:tcBorders>
          </w:tcPr>
          <w:p w14:paraId="0C5D5E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Pendiente: las hipótesis requieren pruebas autorizadas</w:t>
            </w:r>
          </w:p>
        </w:tc>
      </w:tr>
    </w:tbl>
    <w:p w14:paraId="6CC10824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446248C9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4</w:t>
      </w:r>
    </w:p>
    <w:p w14:paraId="098F1CAB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Amenazas del elemento «Interfaz web» en el reporte de Threat Dragon</w:t>
      </w:r>
    </w:p>
    <w:p w14:paraId="524B70D6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4EE144FA" wp14:editId="331FFC91">
            <wp:extent cx="5900000" cy="2775198"/>
            <wp:effectExtent l="0" t="0" r="0" b="0"/>
            <wp:docPr id="603" name="Figura 4" descr="Amenazas del elemento Interfaz web en el reporte de Threat Dra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" name="reporte_amena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77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9BBB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Fragmento del reporte PDF generado por OWASP Threat Dragon. Muestra las amenazas T10 y T23 con su tipo, prioridad, estado y mitigaciones. La herramienta solo maneja las prioridades Alta, Media y Baja, por lo que las amenazas de riesgo Crítico aparecen como Alta.</w:t>
      </w:r>
    </w:p>
    <w:p w14:paraId="0447348C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16" w:name="_Toc900116"/>
      <w:r>
        <w:rPr>
          <w:b/>
          <w:lang w:val="es-GT"/>
        </w:rPr>
        <w:t>5. Priorización de riesgos</w:t>
      </w:r>
      <w:bookmarkEnd w:id="16"/>
    </w:p>
    <w:p w14:paraId="3AB789A5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El impacto se evalúa en términos de Crítico (4), Alto (3), Medio (2) o Bajo (1), mientras que la probabilidad se clasifica en Muy Alta (4), Alta (3), Media (2) o Baja (1). El riesgo es el resultado de ambos factores: Crítico si la puntuación es de 9 o más, Alto si es de 6 a 8, Medio si es de 3 a 5 y Bajo si es de 1 a 2. Esta norma replica la tabla del enunciado correspondiente a la tarea (Alto con Alto es Crítico, Medio con Medio es Medio y Bajo con Bajo es Bajo).</w:t>
      </w:r>
    </w:p>
    <w:p w14:paraId="2E284DEB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7" w:name="_Toc900117"/>
      <w:r>
        <w:rPr>
          <w:b/>
          <w:lang w:val="es-GT"/>
        </w:rPr>
        <w:lastRenderedPageBreak/>
        <w:t>5.1 Matriz de riesgos</w:t>
      </w:r>
      <w:bookmarkEnd w:id="17"/>
    </w:p>
    <w:p w14:paraId="5B41F514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8</w:t>
      </w:r>
    </w:p>
    <w:p w14:paraId="0C63EFC3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Matriz de riesgos por impacto y probabilidad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906"/>
        <w:gridCol w:w="1875"/>
        <w:gridCol w:w="1875"/>
        <w:gridCol w:w="1875"/>
        <w:gridCol w:w="1875"/>
      </w:tblGrid>
      <w:tr w:rsidR="0055664B" w14:paraId="4FD5D1ED" w14:textId="77777777">
        <w:trPr>
          <w:cantSplit/>
          <w:tblHeader/>
        </w:trPr>
        <w:tc>
          <w:tcPr>
            <w:tcW w:w="1906" w:type="dxa"/>
            <w:tcBorders>
              <w:top w:val="single" w:sz="6" w:space="0" w:color="000000"/>
              <w:bottom w:val="single" w:sz="6" w:space="0" w:color="000000"/>
            </w:tcBorders>
          </w:tcPr>
          <w:p w14:paraId="70F1CA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Impacto \ Probabilidad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06E345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Muy 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57ED20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3F131D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Media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5B510F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Baja</w:t>
            </w:r>
          </w:p>
        </w:tc>
      </w:tr>
      <w:tr w:rsidR="0055664B" w14:paraId="61B031F0" w14:textId="77777777">
        <w:trPr>
          <w:cantSplit/>
        </w:trPr>
        <w:tc>
          <w:tcPr>
            <w:tcW w:w="1906" w:type="dxa"/>
          </w:tcPr>
          <w:p w14:paraId="58E34C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875" w:type="dxa"/>
          </w:tcPr>
          <w:p w14:paraId="22ECA8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875" w:type="dxa"/>
          </w:tcPr>
          <w:p w14:paraId="6C1431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  <w:p w14:paraId="5DBE358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T03, T04</w:t>
            </w:r>
          </w:p>
        </w:tc>
        <w:tc>
          <w:tcPr>
            <w:tcW w:w="1875" w:type="dxa"/>
          </w:tcPr>
          <w:p w14:paraId="651882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  <w:p w14:paraId="7854C3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T06, T07</w:t>
            </w:r>
          </w:p>
        </w:tc>
        <w:tc>
          <w:tcPr>
            <w:tcW w:w="1875" w:type="dxa"/>
          </w:tcPr>
          <w:p w14:paraId="66E45C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4E5FB4B" w14:textId="77777777">
        <w:trPr>
          <w:cantSplit/>
        </w:trPr>
        <w:tc>
          <w:tcPr>
            <w:tcW w:w="1906" w:type="dxa"/>
          </w:tcPr>
          <w:p w14:paraId="3F78A2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875" w:type="dxa"/>
          </w:tcPr>
          <w:p w14:paraId="11EB9D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  <w:p w14:paraId="1700B79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T01</w:t>
            </w:r>
          </w:p>
        </w:tc>
        <w:tc>
          <w:tcPr>
            <w:tcW w:w="1875" w:type="dxa"/>
          </w:tcPr>
          <w:p w14:paraId="118F64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  <w:p w14:paraId="450EB9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T02, T05</w:t>
            </w:r>
          </w:p>
        </w:tc>
        <w:tc>
          <w:tcPr>
            <w:tcW w:w="1875" w:type="dxa"/>
          </w:tcPr>
          <w:p w14:paraId="61013F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  <w:p w14:paraId="07EEEF1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T08, T09, T10, T11, T12, T13</w:t>
            </w:r>
          </w:p>
        </w:tc>
        <w:tc>
          <w:tcPr>
            <w:tcW w:w="1875" w:type="dxa"/>
          </w:tcPr>
          <w:p w14:paraId="745819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  <w:p w14:paraId="72E6A21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T20, T21, T22</w:t>
            </w:r>
          </w:p>
        </w:tc>
      </w:tr>
      <w:tr w:rsidR="0055664B" w14:paraId="3980470F" w14:textId="77777777">
        <w:trPr>
          <w:cantSplit/>
        </w:trPr>
        <w:tc>
          <w:tcPr>
            <w:tcW w:w="1906" w:type="dxa"/>
          </w:tcPr>
          <w:p w14:paraId="55E62E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1875" w:type="dxa"/>
          </w:tcPr>
          <w:p w14:paraId="7A83B5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875" w:type="dxa"/>
          </w:tcPr>
          <w:p w14:paraId="29C5752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875" w:type="dxa"/>
          </w:tcPr>
          <w:p w14:paraId="172B893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  <w:p w14:paraId="7C3C0A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T14, T15, T16, T18, T19, T23</w:t>
            </w:r>
          </w:p>
        </w:tc>
        <w:tc>
          <w:tcPr>
            <w:tcW w:w="1875" w:type="dxa"/>
          </w:tcPr>
          <w:p w14:paraId="2669C7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  <w:p w14:paraId="430BDF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T17</w:t>
            </w:r>
          </w:p>
        </w:tc>
      </w:tr>
      <w:tr w:rsidR="0055664B" w14:paraId="46335B8E" w14:textId="77777777">
        <w:trPr>
          <w:cantSplit/>
        </w:trPr>
        <w:tc>
          <w:tcPr>
            <w:tcW w:w="1906" w:type="dxa"/>
            <w:tcBorders>
              <w:bottom w:val="single" w:sz="6" w:space="0" w:color="000000"/>
            </w:tcBorders>
          </w:tcPr>
          <w:p w14:paraId="0932D5C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7E3F15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552E2E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67AEB9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351A1F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</w:tr>
    </w:tbl>
    <w:p w14:paraId="3B4C25B6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Cada celda indica el nivel de riesgo y las amenazas que le corresponden. Elaboración propia.</w:t>
      </w:r>
    </w:p>
    <w:p w14:paraId="734F89C3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8" w:name="_Toc900118"/>
      <w:r>
        <w:rPr>
          <w:b/>
          <w:lang w:val="es-GT"/>
        </w:rPr>
        <w:t>5.2 Top 10 de hallazgos prioritarios</w:t>
      </w:r>
      <w:bookmarkEnd w:id="18"/>
    </w:p>
    <w:p w14:paraId="4D64E517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9</w:t>
      </w:r>
    </w:p>
    <w:p w14:paraId="32B588E2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Diez amenazas de mayor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500"/>
        <w:gridCol w:w="700"/>
        <w:gridCol w:w="4306"/>
        <w:gridCol w:w="1100"/>
        <w:gridCol w:w="1500"/>
        <w:gridCol w:w="1300"/>
      </w:tblGrid>
      <w:tr w:rsidR="0055664B" w14:paraId="63A41807" w14:textId="77777777">
        <w:trPr>
          <w:cantSplit/>
          <w:tblHeader/>
        </w:trPr>
        <w:tc>
          <w:tcPr>
            <w:tcW w:w="500" w:type="dxa"/>
            <w:tcBorders>
              <w:top w:val="single" w:sz="6" w:space="0" w:color="000000"/>
              <w:bottom w:val="single" w:sz="6" w:space="0" w:color="000000"/>
            </w:tcBorders>
          </w:tcPr>
          <w:p w14:paraId="795124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#</w:t>
            </w:r>
          </w:p>
        </w:tc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 w14:paraId="38F84A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ID</w:t>
            </w:r>
          </w:p>
        </w:tc>
        <w:tc>
          <w:tcPr>
            <w:tcW w:w="4306" w:type="dxa"/>
            <w:tcBorders>
              <w:top w:val="single" w:sz="6" w:space="0" w:color="000000"/>
              <w:bottom w:val="single" w:sz="6" w:space="0" w:color="000000"/>
            </w:tcBorders>
          </w:tcPr>
          <w:p w14:paraId="283E9D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Hallazgo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 w14:paraId="0524BF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Impacto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 w14:paraId="6DE4C3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Probabilidad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7C304A6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Nivel</w:t>
            </w:r>
          </w:p>
        </w:tc>
      </w:tr>
      <w:tr w:rsidR="0055664B" w14:paraId="183F5CFC" w14:textId="77777777">
        <w:trPr>
          <w:cantSplit/>
        </w:trPr>
        <w:tc>
          <w:tcPr>
            <w:tcW w:w="500" w:type="dxa"/>
          </w:tcPr>
          <w:p w14:paraId="293ABC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700" w:type="dxa"/>
          </w:tcPr>
          <w:p w14:paraId="4D4D34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T01</w:t>
            </w:r>
          </w:p>
        </w:tc>
        <w:tc>
          <w:tcPr>
            <w:tcW w:w="4306" w:type="dxa"/>
          </w:tcPr>
          <w:p w14:paraId="25D30E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Inyección SQL en la actualización de clientes</w:t>
            </w:r>
          </w:p>
        </w:tc>
        <w:tc>
          <w:tcPr>
            <w:tcW w:w="1100" w:type="dxa"/>
          </w:tcPr>
          <w:p w14:paraId="2CE0F3D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4CF630D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Muy Alta</w:t>
            </w:r>
          </w:p>
        </w:tc>
        <w:tc>
          <w:tcPr>
            <w:tcW w:w="1300" w:type="dxa"/>
          </w:tcPr>
          <w:p w14:paraId="1BBC0CA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6D54E676" w14:textId="77777777">
        <w:trPr>
          <w:cantSplit/>
        </w:trPr>
        <w:tc>
          <w:tcPr>
            <w:tcW w:w="500" w:type="dxa"/>
          </w:tcPr>
          <w:p w14:paraId="51DEE6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700" w:type="dxa"/>
          </w:tcPr>
          <w:p w14:paraId="6F5087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T03</w:t>
            </w:r>
          </w:p>
        </w:tc>
        <w:tc>
          <w:tcPr>
            <w:tcW w:w="4306" w:type="dxa"/>
          </w:tcPr>
          <w:p w14:paraId="7F7E26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Páginas de administración fuera del control de sesión</w:t>
            </w:r>
          </w:p>
        </w:tc>
        <w:tc>
          <w:tcPr>
            <w:tcW w:w="1100" w:type="dxa"/>
          </w:tcPr>
          <w:p w14:paraId="25A2F5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77B566F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053C17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045B2669" w14:textId="77777777">
        <w:trPr>
          <w:cantSplit/>
        </w:trPr>
        <w:tc>
          <w:tcPr>
            <w:tcW w:w="500" w:type="dxa"/>
          </w:tcPr>
          <w:p w14:paraId="6D1A32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3</w:t>
            </w:r>
          </w:p>
        </w:tc>
        <w:tc>
          <w:tcPr>
            <w:tcW w:w="700" w:type="dxa"/>
          </w:tcPr>
          <w:p w14:paraId="21105F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T04</w:t>
            </w:r>
          </w:p>
        </w:tc>
        <w:tc>
          <w:tcPr>
            <w:tcW w:w="4306" w:type="dxa"/>
          </w:tcPr>
          <w:p w14:paraId="0C30373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1100" w:type="dxa"/>
          </w:tcPr>
          <w:p w14:paraId="30C404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6ADAD3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67F6DB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3CE1477C" w14:textId="77777777">
        <w:trPr>
          <w:cantSplit/>
        </w:trPr>
        <w:tc>
          <w:tcPr>
            <w:tcW w:w="500" w:type="dxa"/>
          </w:tcPr>
          <w:p w14:paraId="37DD42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4</w:t>
            </w:r>
          </w:p>
        </w:tc>
        <w:tc>
          <w:tcPr>
            <w:tcW w:w="700" w:type="dxa"/>
          </w:tcPr>
          <w:p w14:paraId="3E5DE54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T02</w:t>
            </w:r>
          </w:p>
        </w:tc>
        <w:tc>
          <w:tcPr>
            <w:tcW w:w="4306" w:type="dxa"/>
          </w:tcPr>
          <w:p w14:paraId="3330AF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Credenciales viajan en la URL (GET /login/{usuario}/{contraseña})</w:t>
            </w:r>
          </w:p>
        </w:tc>
        <w:tc>
          <w:tcPr>
            <w:tcW w:w="1100" w:type="dxa"/>
          </w:tcPr>
          <w:p w14:paraId="6DDAE6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01BA51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63DD53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3C20C462" w14:textId="77777777">
        <w:trPr>
          <w:cantSplit/>
        </w:trPr>
        <w:tc>
          <w:tcPr>
            <w:tcW w:w="500" w:type="dxa"/>
          </w:tcPr>
          <w:p w14:paraId="29802C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5</w:t>
            </w:r>
          </w:p>
        </w:tc>
        <w:tc>
          <w:tcPr>
            <w:tcW w:w="700" w:type="dxa"/>
          </w:tcPr>
          <w:p w14:paraId="354281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T05</w:t>
            </w:r>
          </w:p>
        </w:tc>
        <w:tc>
          <w:tcPr>
            <w:tcW w:w="4306" w:type="dxa"/>
          </w:tcPr>
          <w:p w14:paraId="537934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Acceso a cuentas y clientes ajenos mediante identificadores (BOLA/IDOR)</w:t>
            </w:r>
          </w:p>
        </w:tc>
        <w:tc>
          <w:tcPr>
            <w:tcW w:w="1100" w:type="dxa"/>
          </w:tcPr>
          <w:p w14:paraId="6BD5E1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073AAC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70F6838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57DB46FA" w14:textId="77777777">
        <w:trPr>
          <w:cantSplit/>
        </w:trPr>
        <w:tc>
          <w:tcPr>
            <w:tcW w:w="500" w:type="dxa"/>
          </w:tcPr>
          <w:p w14:paraId="501AC4A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6</w:t>
            </w:r>
          </w:p>
        </w:tc>
        <w:tc>
          <w:tcPr>
            <w:tcW w:w="700" w:type="dxa"/>
          </w:tcPr>
          <w:p w14:paraId="2DF65D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T06</w:t>
            </w:r>
          </w:p>
        </w:tc>
        <w:tc>
          <w:tcPr>
            <w:tcW w:w="4306" w:type="dxa"/>
          </w:tcPr>
          <w:p w14:paraId="5F666D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Contraseñas y SSN almacenados sin protección criptográfica</w:t>
            </w:r>
          </w:p>
        </w:tc>
        <w:tc>
          <w:tcPr>
            <w:tcW w:w="1100" w:type="dxa"/>
          </w:tcPr>
          <w:p w14:paraId="77744A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435232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436369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5B5BAD6D" w14:textId="77777777">
        <w:trPr>
          <w:cantSplit/>
        </w:trPr>
        <w:tc>
          <w:tcPr>
            <w:tcW w:w="500" w:type="dxa"/>
          </w:tcPr>
          <w:p w14:paraId="123ED9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7</w:t>
            </w:r>
          </w:p>
        </w:tc>
        <w:tc>
          <w:tcPr>
            <w:tcW w:w="700" w:type="dxa"/>
          </w:tcPr>
          <w:p w14:paraId="101EBD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T07</w:t>
            </w:r>
          </w:p>
        </w:tc>
        <w:tc>
          <w:tcPr>
            <w:tcW w:w="4306" w:type="dxa"/>
          </w:tcPr>
          <w:p w14:paraId="065071D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Cuenta sa sin contraseña y puerto HyperSQL 9001 accesible</w:t>
            </w:r>
          </w:p>
        </w:tc>
        <w:tc>
          <w:tcPr>
            <w:tcW w:w="1100" w:type="dxa"/>
          </w:tcPr>
          <w:p w14:paraId="572CE4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704DC6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72BD18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7232F974" w14:textId="77777777">
        <w:trPr>
          <w:cantSplit/>
        </w:trPr>
        <w:tc>
          <w:tcPr>
            <w:tcW w:w="500" w:type="dxa"/>
          </w:tcPr>
          <w:p w14:paraId="671917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8</w:t>
            </w:r>
          </w:p>
        </w:tc>
        <w:tc>
          <w:tcPr>
            <w:tcW w:w="700" w:type="dxa"/>
          </w:tcPr>
          <w:p w14:paraId="4898E9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T08</w:t>
            </w:r>
          </w:p>
        </w:tc>
        <w:tc>
          <w:tcPr>
            <w:tcW w:w="4306" w:type="dxa"/>
          </w:tcPr>
          <w:p w14:paraId="2D2FEF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ActiveMQ en 0.0.0.0:61616 sin autenticación configurada</w:t>
            </w:r>
          </w:p>
        </w:tc>
        <w:tc>
          <w:tcPr>
            <w:tcW w:w="1100" w:type="dxa"/>
          </w:tcPr>
          <w:p w14:paraId="22FF4D8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374E26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4C263E5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3B9691B9" w14:textId="77777777">
        <w:trPr>
          <w:cantSplit/>
        </w:trPr>
        <w:tc>
          <w:tcPr>
            <w:tcW w:w="500" w:type="dxa"/>
          </w:tcPr>
          <w:p w14:paraId="2898D3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9</w:t>
            </w:r>
          </w:p>
        </w:tc>
        <w:tc>
          <w:tcPr>
            <w:tcW w:w="700" w:type="dxa"/>
          </w:tcPr>
          <w:p w14:paraId="09F783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T09</w:t>
            </w:r>
          </w:p>
        </w:tc>
        <w:tc>
          <w:tcPr>
            <w:tcW w:w="4306" w:type="dxa"/>
          </w:tcPr>
          <w:p w14:paraId="777280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Tráfico HTTP sin TLS: credenciales y cookie de sesión interceptables</w:t>
            </w:r>
          </w:p>
        </w:tc>
        <w:tc>
          <w:tcPr>
            <w:tcW w:w="1100" w:type="dxa"/>
          </w:tcPr>
          <w:p w14:paraId="7EBA35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48B59D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7A737D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68BA1702" w14:textId="77777777">
        <w:trPr>
          <w:cantSplit/>
        </w:trPr>
        <w:tc>
          <w:tcPr>
            <w:tcW w:w="500" w:type="dxa"/>
            <w:tcBorders>
              <w:bottom w:val="single" w:sz="6" w:space="0" w:color="000000"/>
            </w:tcBorders>
          </w:tcPr>
          <w:p w14:paraId="1A6146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10</w:t>
            </w:r>
          </w:p>
        </w:tc>
        <w:tc>
          <w:tcPr>
            <w:tcW w:w="700" w:type="dxa"/>
            <w:tcBorders>
              <w:bottom w:val="single" w:sz="6" w:space="0" w:color="000000"/>
            </w:tcBorders>
          </w:tcPr>
          <w:p w14:paraId="20DFD2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T10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</w:tcPr>
          <w:p w14:paraId="45A118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CSRF sobre transferencias y pagos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 w14:paraId="503C6D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 w14:paraId="394874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2BBC0FE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</w:tbl>
    <w:p w14:paraId="461193A0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 ranking completo de las 23 amenazas se presenta en la Tabla 12. Elaboración propia.</w:t>
      </w:r>
    </w:p>
    <w:p w14:paraId="2B592A2F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9" w:name="_Toc900119"/>
      <w:r>
        <w:rPr>
          <w:b/>
          <w:lang w:val="es-GT"/>
        </w:rPr>
        <w:t>5.3 Tratamiento del riesgo</w:t>
      </w:r>
      <w:bookmarkEnd w:id="19"/>
    </w:p>
    <w:p w14:paraId="16B40460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Conforme a las estrategias discutidas en el aula, se plantea la mitigación de todas las amenazas críticas y elevadas, la transferencia de una porción del riesgo de interrupción del servicio a través de protección anti-DDoS o un servicio administrado, la aceptación formal de la amenaza de nivel Bajo (T17) con revisión periódica, y la evitación de la divulgación de las operaciones de mantenimiento en producción.</w:t>
      </w:r>
    </w:p>
    <w:p w14:paraId="13188C4D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0" w:name="_Toc900120"/>
      <w:r>
        <w:rPr>
          <w:b/>
          <w:lang w:val="es-GT"/>
        </w:rPr>
        <w:t>6. Casos de abuso</w:t>
      </w:r>
      <w:bookmarkEnd w:id="20"/>
    </w:p>
    <w:p w14:paraId="2FCB2D02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Para cada amenaza crítica o elevada, se registró el objetivo del atacante, el vector, las precondiciones, el método de explotación, el impacto y los controles preventivos, detectivos y correctivos propuestos.</w:t>
      </w:r>
    </w:p>
    <w:p w14:paraId="208A60B3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lastRenderedPageBreak/>
        <w:t>Tabla 10</w:t>
      </w:r>
    </w:p>
    <w:p w14:paraId="77AC64A0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Catálogo de casos de abuso para amenazas críticas y altas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2600"/>
        <w:gridCol w:w="1300"/>
        <w:gridCol w:w="3106"/>
      </w:tblGrid>
      <w:tr w:rsidR="0055664B" w14:paraId="7D90EE59" w14:textId="77777777"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 w14:paraId="2B9D57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 w14:paraId="4E3CEDF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Actor y objetivo</w:t>
            </w:r>
          </w:p>
        </w:tc>
        <w:tc>
          <w:tcPr>
            <w:tcW w:w="2600" w:type="dxa"/>
            <w:tcBorders>
              <w:top w:val="single" w:sz="6" w:space="0" w:color="000000"/>
              <w:bottom w:val="single" w:sz="6" w:space="0" w:color="000000"/>
            </w:tcBorders>
          </w:tcPr>
          <w:p w14:paraId="12820EE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Vector, precondición y método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228346A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Impacto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 w14:paraId="213B5D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Controles</w:t>
            </w:r>
          </w:p>
        </w:tc>
      </w:tr>
      <w:tr w:rsidR="0055664B" w:rsidRPr="00C440A6" w14:paraId="6A403535" w14:textId="77777777">
        <w:trPr>
          <w:cantSplit/>
        </w:trPr>
        <w:tc>
          <w:tcPr>
            <w:tcW w:w="700" w:type="dxa"/>
          </w:tcPr>
          <w:p w14:paraId="3C14C4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  <w:p w14:paraId="03CF62C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460CAE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externo con acceso a la API.</w:t>
            </w:r>
          </w:p>
          <w:p w14:paraId="6F96FD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Leer o modificar datos de todos los clientes.</w:t>
            </w:r>
          </w:p>
        </w:tc>
        <w:tc>
          <w:tcPr>
            <w:tcW w:w="2600" w:type="dxa"/>
          </w:tcPr>
          <w:p w14:paraId="0E83C28B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POST /customers/update/{id} con firstName malicioso.</w:t>
            </w:r>
          </w:p>
          <w:p w14:paraId="6FCB00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de red al servicio y un ID de cliente válido.</w:t>
            </w:r>
          </w:p>
          <w:p w14:paraId="59DE01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Cerrar la cadena con una comilla y concatenar sentencias o subconsultas sobre la tabla Customer.</w:t>
            </w:r>
          </w:p>
        </w:tc>
        <w:tc>
          <w:tcPr>
            <w:tcW w:w="1300" w:type="dxa"/>
          </w:tcPr>
          <w:p w14:paraId="34F4A8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 de integridad y confidencialidad de la base de clientes</w:t>
            </w:r>
          </w:p>
        </w:tc>
        <w:tc>
          <w:tcPr>
            <w:tcW w:w="3106" w:type="dxa"/>
          </w:tcPr>
          <w:p w14:paraId="28F949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Consultas parametrizadas, validación de entrada, BD con mínimo privilegio.</w:t>
            </w:r>
          </w:p>
          <w:p w14:paraId="7E781A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WAF y SIEM con reglas de inyección, alerta de errores SQL.</w:t>
            </w:r>
          </w:p>
          <w:p w14:paraId="60990A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Revocar credenciales, restaurar desde respaldo, corregir el DAO y notificar el incidente.</w:t>
            </w:r>
          </w:p>
        </w:tc>
      </w:tr>
      <w:tr w:rsidR="0055664B" w:rsidRPr="00C440A6" w14:paraId="6D67AACC" w14:textId="77777777">
        <w:trPr>
          <w:cantSplit/>
        </w:trPr>
        <w:tc>
          <w:tcPr>
            <w:tcW w:w="700" w:type="dxa"/>
          </w:tcPr>
          <w:p w14:paraId="3C46312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  <w:p w14:paraId="6BD9A6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17D083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en la red o con acceso a logs.</w:t>
            </w:r>
          </w:p>
          <w:p w14:paraId="35554C7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Obtener credenciales de clientes.</w:t>
            </w:r>
          </w:p>
        </w:tc>
        <w:tc>
          <w:tcPr>
            <w:tcW w:w="2600" w:type="dxa"/>
          </w:tcPr>
          <w:p w14:paraId="246245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Lectura de logs de Tomcat, proxies o historial con la URL de login.</w:t>
            </w:r>
          </w:p>
          <w:p w14:paraId="692225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Acceso a logs o al tráfico.</w:t>
            </w:r>
          </w:p>
          <w:p w14:paraId="5E1543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Extraer usuario y contraseña de la ruta /login/{usuario}/{contraseña}.</w:t>
            </w:r>
          </w:p>
        </w:tc>
        <w:tc>
          <w:tcPr>
            <w:tcW w:w="1300" w:type="dxa"/>
          </w:tcPr>
          <w:p w14:paraId="70B9F0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Toma de cuentas bancarias</w:t>
            </w:r>
          </w:p>
        </w:tc>
        <w:tc>
          <w:tcPr>
            <w:tcW w:w="3106" w:type="dxa"/>
          </w:tcPr>
          <w:p w14:paraId="2844F5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Login por POST con token y TLS.</w:t>
            </w:r>
          </w:p>
          <w:p w14:paraId="7888DB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DLP sobre logs, alerta de accesos desde ubicaciones nuevas.</w:t>
            </w:r>
          </w:p>
          <w:p w14:paraId="3567E2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Forzar cambio de contraseñas expuestas y depurar logs.</w:t>
            </w:r>
          </w:p>
        </w:tc>
      </w:tr>
      <w:tr w:rsidR="0055664B" w:rsidRPr="00C440A6" w14:paraId="7404F03C" w14:textId="77777777">
        <w:trPr>
          <w:cantSplit/>
        </w:trPr>
        <w:tc>
          <w:tcPr>
            <w:tcW w:w="700" w:type="dxa"/>
          </w:tcPr>
          <w:p w14:paraId="3D103D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  <w:p w14:paraId="33129A5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6BB766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externo anónimo.</w:t>
            </w:r>
          </w:p>
          <w:p w14:paraId="75EEA7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Tomar control administrativo de la aplicación.</w:t>
            </w:r>
          </w:p>
        </w:tc>
        <w:tc>
          <w:tcPr>
            <w:tcW w:w="2600" w:type="dxa"/>
          </w:tcPr>
          <w:p w14:paraId="5F8D5C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Navegar a /parabank/admin.htm, db.htm o jms.htm.</w:t>
            </w:r>
          </w:p>
          <w:p w14:paraId="4D339B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HTTP al servidor.</w:t>
            </w:r>
          </w:p>
          <w:p w14:paraId="4FD924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Cambiar parámetros, reinicializar la BD o apagar el listener JMS desde las páginas administrativas.</w:t>
            </w:r>
          </w:p>
        </w:tc>
        <w:tc>
          <w:tcPr>
            <w:tcW w:w="1300" w:type="dxa"/>
          </w:tcPr>
          <w:p w14:paraId="585AFC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 de datos, fraude por parámetros alterados y caída del servicio</w:t>
            </w:r>
          </w:p>
        </w:tc>
        <w:tc>
          <w:tcPr>
            <w:tcW w:w="3106" w:type="dxa"/>
          </w:tcPr>
          <w:p w14:paraId="35A203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Rol ADMIN con MFA y acceso solo desde red de gestión.</w:t>
            </w:r>
          </w:p>
          <w:p w14:paraId="237948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por acceso a rutas administrativas.</w:t>
            </w:r>
          </w:p>
          <w:p w14:paraId="7EE360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Restaurar parámetros y BD, rotar credenciales y cerrar la exposición.</w:t>
            </w:r>
          </w:p>
        </w:tc>
      </w:tr>
      <w:tr w:rsidR="0055664B" w:rsidRPr="00C440A6" w14:paraId="38655960" w14:textId="77777777">
        <w:trPr>
          <w:cantSplit/>
        </w:trPr>
        <w:tc>
          <w:tcPr>
            <w:tcW w:w="700" w:type="dxa"/>
          </w:tcPr>
          <w:p w14:paraId="7C8119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  <w:p w14:paraId="7FB52B7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645060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Cliente API malicioso.</w:t>
            </w:r>
          </w:p>
          <w:p w14:paraId="7AA5F3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Destruir datos o dejar fuera de servicio el sistema.</w:t>
            </w:r>
          </w:p>
        </w:tc>
        <w:tc>
          <w:tcPr>
            <w:tcW w:w="2600" w:type="dxa"/>
          </w:tcPr>
          <w:p w14:paraId="4B7A44D2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POST /services/bank/cleanDB, /initializeDB, /shutdownJmsListener.</w:t>
            </w:r>
          </w:p>
          <w:p w14:paraId="2CAEFA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a /services.</w:t>
            </w:r>
          </w:p>
          <w:p w14:paraId="4FCA85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Invocar directamente las operaciones de mantenimiento.</w:t>
            </w:r>
          </w:p>
        </w:tc>
        <w:tc>
          <w:tcPr>
            <w:tcW w:w="1300" w:type="dxa"/>
          </w:tcPr>
          <w:p w14:paraId="277D32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 total de datos y disponibilidad</w:t>
            </w:r>
          </w:p>
        </w:tc>
        <w:tc>
          <w:tcPr>
            <w:tcW w:w="3106" w:type="dxa"/>
          </w:tcPr>
          <w:p w14:paraId="091442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Retirar o proteger con OAuth 2.0 y scope administrativo.</w:t>
            </w:r>
          </w:p>
          <w:p w14:paraId="694C59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Registro y alerta de invocaciones de mantenimiento.</w:t>
            </w:r>
          </w:p>
          <w:p w14:paraId="310218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Restauración desde respaldo y revisión del gateway.</w:t>
            </w:r>
          </w:p>
        </w:tc>
      </w:tr>
      <w:tr w:rsidR="0055664B" w:rsidRPr="00C440A6" w14:paraId="01B08CEF" w14:textId="77777777">
        <w:trPr>
          <w:cantSplit/>
        </w:trPr>
        <w:tc>
          <w:tcPr>
            <w:tcW w:w="700" w:type="dxa"/>
          </w:tcPr>
          <w:p w14:paraId="23227D1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  <w:p w14:paraId="7D266E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467250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Cliente autenticado malicioso o anónimo.</w:t>
            </w:r>
          </w:p>
          <w:p w14:paraId="2A8BE4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Leer datos financieros y personales ajenos.</w:t>
            </w:r>
          </w:p>
        </w:tc>
        <w:tc>
          <w:tcPr>
            <w:tcW w:w="2600" w:type="dxa"/>
          </w:tcPr>
          <w:p w14:paraId="53CC4B5E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GET /accounts/{id} y /customers/{id} con IDs secuenciales.</w:t>
            </w:r>
          </w:p>
          <w:p w14:paraId="5F7433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Conocer o adivinar el formato del ID.</w:t>
            </w:r>
          </w:p>
          <w:p w14:paraId="07F929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Enumeración de identificadores.</w:t>
            </w:r>
          </w:p>
        </w:tc>
        <w:tc>
          <w:tcPr>
            <w:tcW w:w="1300" w:type="dxa"/>
          </w:tcPr>
          <w:p w14:paraId="7CA8874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Exposición de PII y saldos de múltiples clientes</w:t>
            </w:r>
          </w:p>
        </w:tc>
        <w:tc>
          <w:tcPr>
            <w:tcW w:w="3106" w:type="dxa"/>
          </w:tcPr>
          <w:p w14:paraId="685B7B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Autorización a nivel de objeto e IDs no predecibles.</w:t>
            </w:r>
          </w:p>
          <w:p w14:paraId="18ADFCC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por barridos secuenciales de IDs.</w:t>
            </w:r>
          </w:p>
          <w:p w14:paraId="65C640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Invalidar sesiones, notificar y corregir las comprobaciones.</w:t>
            </w:r>
          </w:p>
        </w:tc>
      </w:tr>
      <w:tr w:rsidR="0055664B" w:rsidRPr="00C440A6" w14:paraId="3017D53B" w14:textId="77777777">
        <w:trPr>
          <w:cantSplit/>
        </w:trPr>
        <w:tc>
          <w:tcPr>
            <w:tcW w:w="700" w:type="dxa"/>
          </w:tcPr>
          <w:p w14:paraId="6D1B50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  <w:p w14:paraId="4BEBB6E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2CD5D2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acceso a datos.</w:t>
            </w:r>
          </w:p>
          <w:p w14:paraId="21F5A2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Usar credenciales y SSN en claro.</w:t>
            </w:r>
          </w:p>
        </w:tc>
        <w:tc>
          <w:tcPr>
            <w:tcW w:w="2600" w:type="dxa"/>
          </w:tcPr>
          <w:p w14:paraId="676C62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Lectura de la tabla Customer (inyección SQL o acceso directo a la BD).</w:t>
            </w:r>
          </w:p>
          <w:p w14:paraId="43FDB14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Cualquier acceso de lectura a la BD.</w:t>
            </w:r>
          </w:p>
          <w:p w14:paraId="7686E5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SELECT de usernames, passwords y SSN.</w:t>
            </w:r>
          </w:p>
        </w:tc>
        <w:tc>
          <w:tcPr>
            <w:tcW w:w="1300" w:type="dxa"/>
          </w:tcPr>
          <w:p w14:paraId="301D8C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Robo masivo de identidades y reutilización de contraseñas</w:t>
            </w:r>
          </w:p>
        </w:tc>
        <w:tc>
          <w:tcPr>
            <w:tcW w:w="3106" w:type="dxa"/>
          </w:tcPr>
          <w:p w14:paraId="789954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Hash Argon2id y cifrado de SSN.</w:t>
            </w:r>
          </w:p>
          <w:p w14:paraId="2D5BE95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por consultas masivas sobre Customer.</w:t>
            </w:r>
          </w:p>
          <w:p w14:paraId="3A1419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Rotación forzada de credenciales y notificación a clientes.</w:t>
            </w:r>
          </w:p>
        </w:tc>
      </w:tr>
      <w:tr w:rsidR="0055664B" w:rsidRPr="00C440A6" w14:paraId="36F71BCC" w14:textId="77777777">
        <w:trPr>
          <w:cantSplit/>
        </w:trPr>
        <w:tc>
          <w:tcPr>
            <w:tcW w:w="700" w:type="dxa"/>
          </w:tcPr>
          <w:p w14:paraId="1D5BFD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  <w:p w14:paraId="6D0B3D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6345EE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alcance de red a la BD.</w:t>
            </w:r>
          </w:p>
          <w:p w14:paraId="0CE1ED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Controlar la base de datos.</w:t>
            </w:r>
          </w:p>
        </w:tc>
        <w:tc>
          <w:tcPr>
            <w:tcW w:w="2600" w:type="dxa"/>
          </w:tcPr>
          <w:p w14:paraId="526F05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Conexión JDBC/TCP al puerto 9001 como sa sin contraseña.</w:t>
            </w:r>
          </w:p>
          <w:p w14:paraId="0838FE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de red al puerto.</w:t>
            </w:r>
          </w:p>
          <w:p w14:paraId="0D7855B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Conectar con un cliente JDBC y ejecutar SQL libre.</w:t>
            </w:r>
          </w:p>
        </w:tc>
        <w:tc>
          <w:tcPr>
            <w:tcW w:w="1300" w:type="dxa"/>
          </w:tcPr>
          <w:p w14:paraId="5C7DA2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Lectura, modificación y destrucción total de datos</w:t>
            </w:r>
          </w:p>
        </w:tc>
        <w:tc>
          <w:tcPr>
            <w:tcW w:w="3106" w:type="dxa"/>
          </w:tcPr>
          <w:p w14:paraId="5AC472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Cuenta de servicio de mínimo privilegio, bóveda de secretos y segmentación.</w:t>
            </w:r>
          </w:p>
          <w:p w14:paraId="3D6452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Logging de conexiones y alertas por orígenes nuevos.</w:t>
            </w:r>
          </w:p>
          <w:p w14:paraId="4CCEDCB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Rotar credenciales y reconstruir desde respaldo.</w:t>
            </w:r>
          </w:p>
        </w:tc>
      </w:tr>
      <w:tr w:rsidR="0055664B" w:rsidRPr="00C440A6" w14:paraId="0A570CA0" w14:textId="77777777">
        <w:trPr>
          <w:cantSplit/>
        </w:trPr>
        <w:tc>
          <w:tcPr>
            <w:tcW w:w="700" w:type="dxa"/>
          </w:tcPr>
          <w:p w14:paraId="40F232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  <w:p w14:paraId="26877C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36C27F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alcance de red al broker.</w:t>
            </w:r>
          </w:p>
          <w:p w14:paraId="5E8FD3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Falsificar o leer solicitudes de préstamo.</w:t>
            </w:r>
          </w:p>
        </w:tc>
        <w:tc>
          <w:tcPr>
            <w:tcW w:w="2600" w:type="dxa"/>
          </w:tcPr>
          <w:p w14:paraId="4EAF23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Conexión a tcp://host:61616.</w:t>
            </w:r>
          </w:p>
          <w:p w14:paraId="2FED73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al puerto del broker.</w:t>
            </w:r>
          </w:p>
          <w:p w14:paraId="437668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Publicar mensajes de respuesta con aprobación o consumir solicitudes.</w:t>
            </w:r>
          </w:p>
        </w:tc>
        <w:tc>
          <w:tcPr>
            <w:tcW w:w="1300" w:type="dxa"/>
          </w:tcPr>
          <w:p w14:paraId="3094AC0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Préstamos fraudulentos y fuga de datos</w:t>
            </w:r>
          </w:p>
        </w:tc>
        <w:tc>
          <w:tcPr>
            <w:tcW w:w="3106" w:type="dxa"/>
          </w:tcPr>
          <w:p w14:paraId="529870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Autenticación, ACL, TLS y enlace a red interna.</w:t>
            </w:r>
          </w:p>
          <w:p w14:paraId="3D11239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Alertas de conexiones y mensajes anómalos.</w:t>
            </w:r>
          </w:p>
          <w:p w14:paraId="558FD7C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Purgar colas, rotar credenciales y revisar préstamos aprobados.</w:t>
            </w:r>
          </w:p>
        </w:tc>
      </w:tr>
      <w:tr w:rsidR="0055664B" w:rsidRPr="00C440A6" w14:paraId="225EDEEB" w14:textId="77777777">
        <w:trPr>
          <w:cantSplit/>
        </w:trPr>
        <w:tc>
          <w:tcPr>
            <w:tcW w:w="700" w:type="dxa"/>
          </w:tcPr>
          <w:p w14:paraId="488C03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T09</w:t>
            </w:r>
          </w:p>
          <w:p w14:paraId="3E64D5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3D63A0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en la ruta de red (MITM).</w:t>
            </w:r>
          </w:p>
          <w:p w14:paraId="32011A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Capturar credenciales y sesiones.</w:t>
            </w:r>
          </w:p>
        </w:tc>
        <w:tc>
          <w:tcPr>
            <w:tcW w:w="2600" w:type="dxa"/>
          </w:tcPr>
          <w:p w14:paraId="6F5D99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Intercepción del tráfico HTTP del cliente.</w:t>
            </w:r>
          </w:p>
          <w:p w14:paraId="74C5B9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Posición de red intermedia (Wi-Fi público, proxy).</w:t>
            </w:r>
          </w:p>
          <w:p w14:paraId="606B4B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Sniffing de F01/F02 para obtener contraseña o JSESSIONID.</w:t>
            </w:r>
          </w:p>
        </w:tc>
        <w:tc>
          <w:tcPr>
            <w:tcW w:w="1300" w:type="dxa"/>
          </w:tcPr>
          <w:p w14:paraId="0F31F2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y fraude con la cuenta de la víctima</w:t>
            </w:r>
          </w:p>
        </w:tc>
        <w:tc>
          <w:tcPr>
            <w:tcW w:w="3106" w:type="dxa"/>
          </w:tcPr>
          <w:p w14:paraId="0A31BB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TLS 1.2+, HSTS y cookies Secure.</w:t>
            </w:r>
          </w:p>
          <w:p w14:paraId="30E84A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Monitoreo de sesiones simultáneas.</w:t>
            </w:r>
          </w:p>
          <w:p w14:paraId="5A8103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Invalidar sesiones y forzar cambio de contraseña.</w:t>
            </w:r>
          </w:p>
        </w:tc>
      </w:tr>
      <w:tr w:rsidR="0055664B" w:rsidRPr="00C440A6" w14:paraId="03380010" w14:textId="77777777">
        <w:trPr>
          <w:cantSplit/>
        </w:trPr>
        <w:tc>
          <w:tcPr>
            <w:tcW w:w="700" w:type="dxa"/>
          </w:tcPr>
          <w:p w14:paraId="2C9AA5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  <w:p w14:paraId="43B8E3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2704C0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externo.</w:t>
            </w:r>
          </w:p>
          <w:p w14:paraId="7C66DE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Transferir fondos desde cuentas de víctimas.</w:t>
            </w:r>
          </w:p>
        </w:tc>
        <w:tc>
          <w:tcPr>
            <w:tcW w:w="2600" w:type="dxa"/>
          </w:tcPr>
          <w:p w14:paraId="116E2D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Página maliciosa que dispara POST a transfer.htm.</w:t>
            </w:r>
          </w:p>
          <w:p w14:paraId="4AC5B7B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La víctima tiene sesión activa.</w:t>
            </w:r>
          </w:p>
          <w:p w14:paraId="1E2666F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Formulario auto-enviado o petición cruzada de sitio.</w:t>
            </w:r>
          </w:p>
        </w:tc>
        <w:tc>
          <w:tcPr>
            <w:tcW w:w="1300" w:type="dxa"/>
          </w:tcPr>
          <w:p w14:paraId="4249BA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Transferencias no autorizadas</w:t>
            </w:r>
          </w:p>
        </w:tc>
        <w:tc>
          <w:tcPr>
            <w:tcW w:w="3106" w:type="dxa"/>
          </w:tcPr>
          <w:p w14:paraId="21856C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Token CSRF, SameSite y OTP en operaciones de valor.</w:t>
            </w:r>
          </w:p>
          <w:p w14:paraId="16A0C2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Reglas antifraude por monto y beneficiario nuevo.</w:t>
            </w:r>
          </w:p>
          <w:p w14:paraId="305335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Reversar transferencias y reforzar controles.</w:t>
            </w:r>
          </w:p>
        </w:tc>
      </w:tr>
      <w:tr w:rsidR="0055664B" w:rsidRPr="00C440A6" w14:paraId="7EE5FF27" w14:textId="77777777">
        <w:trPr>
          <w:cantSplit/>
        </w:trPr>
        <w:tc>
          <w:tcPr>
            <w:tcW w:w="700" w:type="dxa"/>
          </w:tcPr>
          <w:p w14:paraId="16671EC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  <w:p w14:paraId="0D13D4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4CBD52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Cliente malicioso.</w:t>
            </w:r>
          </w:p>
          <w:p w14:paraId="1625E1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Alterar monto o cuenta de una operación.</w:t>
            </w:r>
          </w:p>
        </w:tc>
        <w:tc>
          <w:tcPr>
            <w:tcW w:w="2600" w:type="dxa"/>
          </w:tcPr>
          <w:p w14:paraId="463B20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Modificar parámetros en POST /transfer o /billpay.</w:t>
            </w:r>
          </w:p>
          <w:p w14:paraId="6559F8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Sesión válida o acceso al API.</w:t>
            </w:r>
          </w:p>
          <w:p w14:paraId="47AFB2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Cambiar amount o cuenta origen en la petición.</w:t>
            </w:r>
          </w:p>
        </w:tc>
        <w:tc>
          <w:tcPr>
            <w:tcW w:w="1300" w:type="dxa"/>
          </w:tcPr>
          <w:p w14:paraId="3A4DA2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Fraude financiero y descuadre contable</w:t>
            </w:r>
          </w:p>
        </w:tc>
        <w:tc>
          <w:tcPr>
            <w:tcW w:w="3106" w:type="dxa"/>
          </w:tcPr>
          <w:p w14:paraId="4F5212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Validación de negocio en servidor, firma e idempotencia.</w:t>
            </w:r>
          </w:p>
          <w:p w14:paraId="1AA14B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Conciliación y reglas antifraude.</w:t>
            </w:r>
          </w:p>
          <w:p w14:paraId="38E9DD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Reversión y ajuste contable.</w:t>
            </w:r>
          </w:p>
        </w:tc>
      </w:tr>
      <w:tr w:rsidR="0055664B" w:rsidRPr="00C440A6" w14:paraId="4448C835" w14:textId="77777777">
        <w:trPr>
          <w:cantSplit/>
        </w:trPr>
        <w:tc>
          <w:tcPr>
            <w:tcW w:w="700" w:type="dxa"/>
          </w:tcPr>
          <w:p w14:paraId="587A88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  <w:p w14:paraId="6FD5A6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72613A1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listas de credenciales filtradas.</w:t>
            </w:r>
          </w:p>
          <w:p w14:paraId="16FE6A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Tomar cuentas de clientes.</w:t>
            </w:r>
          </w:p>
        </w:tc>
        <w:tc>
          <w:tcPr>
            <w:tcW w:w="2600" w:type="dxa"/>
          </w:tcPr>
          <w:p w14:paraId="393C61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Peticiones automatizadas a /login.</w:t>
            </w:r>
          </w:p>
          <w:p w14:paraId="5C6A7A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Listas de usuarios y contraseñas.</w:t>
            </w:r>
          </w:p>
          <w:p w14:paraId="7BEAAC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Credential stuffing sin límite de intentos.</w:t>
            </w:r>
          </w:p>
        </w:tc>
        <w:tc>
          <w:tcPr>
            <w:tcW w:w="1300" w:type="dxa"/>
          </w:tcPr>
          <w:p w14:paraId="74F83E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Fraude y daño reputacional</w:t>
            </w:r>
          </w:p>
        </w:tc>
        <w:tc>
          <w:tcPr>
            <w:tcW w:w="3106" w:type="dxa"/>
          </w:tcPr>
          <w:p w14:paraId="728C89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MFA, bloqueo progresivo y rate limiting.</w:t>
            </w:r>
          </w:p>
          <w:p w14:paraId="148B36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SIEM con alerta de fallos repetidos.</w:t>
            </w:r>
          </w:p>
          <w:p w14:paraId="3BC309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Bloquear cuentas, forzar restablecimiento y notificar.</w:t>
            </w:r>
          </w:p>
        </w:tc>
      </w:tr>
      <w:tr w:rsidR="0055664B" w:rsidRPr="00C440A6" w14:paraId="5E01D990" w14:textId="77777777"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 w14:paraId="37356F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  <w:p w14:paraId="17F1F8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 w14:paraId="38D24C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acceso administrativo (por T03/T04).</w:t>
            </w:r>
          </w:p>
          <w:p w14:paraId="76D2501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Aprobar préstamos fraudulentos.</w:t>
            </w:r>
          </w:p>
        </w:tc>
        <w:tc>
          <w:tcPr>
            <w:tcW w:w="2600" w:type="dxa"/>
            <w:tcBorders>
              <w:bottom w:val="single" w:sz="6" w:space="0" w:color="000000"/>
            </w:tcBorders>
          </w:tcPr>
          <w:p w14:paraId="7D587F5D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Modificar loanProcessorThreshold vía setParameter o admin.htm.</w:t>
            </w:r>
          </w:p>
          <w:p w14:paraId="471B05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Acceso a la administración.</w:t>
            </w:r>
          </w:p>
          <w:p w14:paraId="72A91D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Subir el umbral para que toda solicitud sea aprobada.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5CD1D6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Pérdidas por préstamos otorgados indebidamente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 w14:paraId="7916A78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Doble aprobación y rangos válidos.</w:t>
            </w:r>
          </w:p>
          <w:p w14:paraId="7525CD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de cambios de parámetros.</w:t>
            </w:r>
          </w:p>
          <w:p w14:paraId="46419B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Revertir parámetros y auditar préstamos aprobados.</w:t>
            </w:r>
          </w:p>
        </w:tc>
      </w:tr>
    </w:tbl>
    <w:p w14:paraId="080452F7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28EF858E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21" w:name="_Toc900121"/>
      <w:r>
        <w:rPr>
          <w:b/>
          <w:lang w:val="es-GT"/>
        </w:rPr>
        <w:t>6.1 Árbol de ataque</w:t>
      </w:r>
      <w:bookmarkEnd w:id="21"/>
    </w:p>
    <w:p w14:paraId="07E3586E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El propósito de visualizar o modificar la información de los clientes puede lograrse mediante tres vías: a través de la aplicación (introduciendo SQL en T01, enumerando identificadores en T05 y exponiendo credenciales en la URL en T02), a través de la infraestructura (conectando directamente como sa en T07 y accediendo a páginas de administración sin autenticación en T03) y mediante la mensajería (remitiendo mensajes al broker abierto en T08). La existencia de múltiples trayectorias hacia un objetivo común explica por qué la mitigación debe abarcar todas las capas.</w:t>
      </w:r>
    </w:p>
    <w:p w14:paraId="37C41E25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2" w:name="_Toc900122"/>
      <w:r>
        <w:rPr>
          <w:b/>
          <w:lang w:val="es-GT"/>
        </w:rPr>
        <w:t>7. Controles de seguridad</w:t>
      </w:r>
      <w:bookmarkEnd w:id="22"/>
    </w:p>
    <w:p w14:paraId="79C55564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Cada amenaza fue vinculada a controles de aplicación, interfaz de programación de aplicaciones (API), infraestructura y monitoreo. La columna final contrasta el riesgo inicial con el riesgo residual proyectado tras su aplicación; estos son valores que deben ser validados con el equipo, no constituyen una garantía.</w:t>
      </w:r>
    </w:p>
    <w:p w14:paraId="2269E95F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11</w:t>
      </w:r>
    </w:p>
    <w:p w14:paraId="542AA7B8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Controles por amenaza y riesgo residual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200"/>
        <w:gridCol w:w="4806"/>
        <w:gridCol w:w="1800"/>
      </w:tblGrid>
      <w:tr w:rsidR="0055664B" w14:paraId="430505D6" w14:textId="77777777"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03711F4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2200" w:type="dxa"/>
            <w:tcBorders>
              <w:top w:val="single" w:sz="6" w:space="0" w:color="000000"/>
              <w:bottom w:val="single" w:sz="6" w:space="0" w:color="000000"/>
            </w:tcBorders>
          </w:tcPr>
          <w:p w14:paraId="25C8B9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Amenaza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 w14:paraId="20751F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Controles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 w14:paraId="483C0E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Riesgo inicial → residual</w:t>
            </w:r>
          </w:p>
        </w:tc>
      </w:tr>
      <w:tr w:rsidR="0055664B" w14:paraId="5C71B93F" w14:textId="77777777">
        <w:trPr>
          <w:cantSplit/>
        </w:trPr>
        <w:tc>
          <w:tcPr>
            <w:tcW w:w="600" w:type="dxa"/>
          </w:tcPr>
          <w:p w14:paraId="32BDCB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2200" w:type="dxa"/>
          </w:tcPr>
          <w:p w14:paraId="363757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Inyección SQL en la actualización de clientes</w:t>
            </w:r>
          </w:p>
        </w:tc>
        <w:tc>
          <w:tcPr>
            <w:tcW w:w="4806" w:type="dxa"/>
          </w:tcPr>
          <w:p w14:paraId="043559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Sentencias parametrizadas y uso de SecureJdbcCustomerDao en toda ruta de escritura</w:t>
            </w:r>
          </w:p>
          <w:p w14:paraId="0DA3FB1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Validación de esquema y longitud de campos en el endpoint</w:t>
            </w:r>
          </w:p>
          <w:p w14:paraId="66E379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Cuenta de BD con privilegios mínimos distinta de sa</w:t>
            </w:r>
          </w:p>
          <w:p w14:paraId="3FAB3C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de WAF/SIEM por patrones de inyección</w:t>
            </w:r>
          </w:p>
        </w:tc>
        <w:tc>
          <w:tcPr>
            <w:tcW w:w="1800" w:type="dxa"/>
          </w:tcPr>
          <w:p w14:paraId="2732A1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7630DF31" w14:textId="77777777">
        <w:trPr>
          <w:cantSplit/>
        </w:trPr>
        <w:tc>
          <w:tcPr>
            <w:tcW w:w="600" w:type="dxa"/>
          </w:tcPr>
          <w:p w14:paraId="11DC9D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T02</w:t>
            </w:r>
          </w:p>
        </w:tc>
        <w:tc>
          <w:tcPr>
            <w:tcW w:w="2200" w:type="dxa"/>
          </w:tcPr>
          <w:p w14:paraId="579AA0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Credenciales viajan en la URL (GET /login/{usuario}/{contraseña})</w:t>
            </w:r>
          </w:p>
        </w:tc>
        <w:tc>
          <w:tcPr>
            <w:tcW w:w="4806" w:type="dxa"/>
          </w:tcPr>
          <w:p w14:paraId="620C9C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Autenticar con POST y cuerpo, o con OAuth 2.0/OIDC con tokens de corta vida</w:t>
            </w:r>
          </w:p>
          <w:p w14:paraId="18D05B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Excluir rutas sensibles del registro de acceso y de proxies</w:t>
            </w:r>
          </w:p>
          <w:p w14:paraId="0C4CEF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Detección de credenciales en logs (DLP)</w:t>
            </w:r>
          </w:p>
        </w:tc>
        <w:tc>
          <w:tcPr>
            <w:tcW w:w="1800" w:type="dxa"/>
          </w:tcPr>
          <w:p w14:paraId="7E7F56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5EE8CC7E" w14:textId="77777777">
        <w:trPr>
          <w:cantSplit/>
        </w:trPr>
        <w:tc>
          <w:tcPr>
            <w:tcW w:w="600" w:type="dxa"/>
          </w:tcPr>
          <w:p w14:paraId="4BEF3EF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2200" w:type="dxa"/>
          </w:tcPr>
          <w:p w14:paraId="344FF7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Páginas de administración fuera del control de sesión</w:t>
            </w:r>
          </w:p>
        </w:tc>
        <w:tc>
          <w:tcPr>
            <w:tcW w:w="4806" w:type="dxa"/>
          </w:tcPr>
          <w:p w14:paraId="7AD5EA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Autorización por rol (ADMIN) con deny-by-default en todas las rutas /admin</w:t>
            </w:r>
          </w:p>
          <w:p w14:paraId="7B8F08A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Publicar el módulo administrativo solo en red de gestión o VPN</w:t>
            </w:r>
          </w:p>
          <w:p w14:paraId="394CADC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MFA para administradores</w:t>
            </w:r>
          </w:p>
          <w:p w14:paraId="4DB3E9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por acceso a rutas administrativas</w:t>
            </w:r>
          </w:p>
        </w:tc>
        <w:tc>
          <w:tcPr>
            <w:tcW w:w="1800" w:type="dxa"/>
          </w:tcPr>
          <w:p w14:paraId="0A078E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10CCABFE" w14:textId="77777777">
        <w:trPr>
          <w:cantSplit/>
        </w:trPr>
        <w:tc>
          <w:tcPr>
            <w:tcW w:w="600" w:type="dxa"/>
          </w:tcPr>
          <w:p w14:paraId="23F9F42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2200" w:type="dxa"/>
          </w:tcPr>
          <w:p w14:paraId="4718A2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4806" w:type="dxa"/>
          </w:tcPr>
          <w:p w14:paraId="171C58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Separar la API operativa de la administrativa y exigir token con scope admin en esta última</w:t>
            </w:r>
          </w:p>
          <w:p w14:paraId="357B76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API Gateway con listas de control de acceso por ruta</w:t>
            </w:r>
          </w:p>
          <w:p w14:paraId="5C8E08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Segmentación de red: operaciones de mantenimiento solo desde red interna</w:t>
            </w:r>
          </w:p>
          <w:p w14:paraId="4FE770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Registro y alerta de invocaciones de mantenimiento</w:t>
            </w:r>
          </w:p>
        </w:tc>
        <w:tc>
          <w:tcPr>
            <w:tcW w:w="1800" w:type="dxa"/>
          </w:tcPr>
          <w:p w14:paraId="7CDBA16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44A79536" w14:textId="77777777">
        <w:trPr>
          <w:cantSplit/>
        </w:trPr>
        <w:tc>
          <w:tcPr>
            <w:tcW w:w="600" w:type="dxa"/>
          </w:tcPr>
          <w:p w14:paraId="16EED7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2200" w:type="dxa"/>
          </w:tcPr>
          <w:p w14:paraId="63C3055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Acceso a cuentas y clientes ajenos mediante identificadores (BOLA/IDOR)</w:t>
            </w:r>
          </w:p>
        </w:tc>
        <w:tc>
          <w:tcPr>
            <w:tcW w:w="4806" w:type="dxa"/>
          </w:tcPr>
          <w:p w14:paraId="4BB0A2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Autorización a nivel de objeto: comparar el ID del recurso con el sujeto del token</w:t>
            </w:r>
          </w:p>
          <w:p w14:paraId="52556A2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Identificadores no predecibles (UUID)</w:t>
            </w:r>
          </w:p>
          <w:p w14:paraId="31D51E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por enumeración secuencial de IDs</w:t>
            </w:r>
          </w:p>
        </w:tc>
        <w:tc>
          <w:tcPr>
            <w:tcW w:w="1800" w:type="dxa"/>
          </w:tcPr>
          <w:p w14:paraId="5804A12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5C4ED90D" w14:textId="77777777">
        <w:trPr>
          <w:cantSplit/>
        </w:trPr>
        <w:tc>
          <w:tcPr>
            <w:tcW w:w="600" w:type="dxa"/>
          </w:tcPr>
          <w:p w14:paraId="6C1400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2200" w:type="dxa"/>
          </w:tcPr>
          <w:p w14:paraId="567722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Contraseñas y SSN almacenados sin protección criptográfica</w:t>
            </w:r>
          </w:p>
        </w:tc>
        <w:tc>
          <w:tcPr>
            <w:tcW w:w="4806" w:type="dxa"/>
          </w:tcPr>
          <w:p w14:paraId="336C0B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Hash con Argon2id o bcrypt con sal por usuario</w:t>
            </w:r>
          </w:p>
          <w:p w14:paraId="52F9E0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Cifrado de columnas sensibles (SSN) y gestión de claves en bóveda</w:t>
            </w:r>
          </w:p>
          <w:p w14:paraId="5726D8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por consultas masivas sobre Customer</w:t>
            </w:r>
          </w:p>
        </w:tc>
        <w:tc>
          <w:tcPr>
            <w:tcW w:w="1800" w:type="dxa"/>
          </w:tcPr>
          <w:p w14:paraId="083E625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2C5C48A1" w14:textId="77777777">
        <w:trPr>
          <w:cantSplit/>
        </w:trPr>
        <w:tc>
          <w:tcPr>
            <w:tcW w:w="600" w:type="dxa"/>
          </w:tcPr>
          <w:p w14:paraId="57E9AB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2200" w:type="dxa"/>
          </w:tcPr>
          <w:p w14:paraId="3A71B1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Cuenta sa sin contraseña y puerto HyperSQL 9001 accesible</w:t>
            </w:r>
          </w:p>
        </w:tc>
        <w:tc>
          <w:tcPr>
            <w:tcW w:w="4806" w:type="dxa"/>
          </w:tcPr>
          <w:p w14:paraId="36AA61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Cuenta de aplicación con privilegios mínimos y contraseña robusta en bóveda de secretos</w:t>
            </w:r>
          </w:p>
          <w:p w14:paraId="417CCF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Segmentación: BD accesible solo desde el servidor de aplicaciones</w:t>
            </w:r>
          </w:p>
          <w:p w14:paraId="6C2566C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Hardening: deshabilitar la cuenta sa por defecto</w:t>
            </w:r>
          </w:p>
          <w:p w14:paraId="71E615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Logging de conexiones a la BD</w:t>
            </w:r>
          </w:p>
        </w:tc>
        <w:tc>
          <w:tcPr>
            <w:tcW w:w="1800" w:type="dxa"/>
          </w:tcPr>
          <w:p w14:paraId="22D3A4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Medio</w:t>
            </w:r>
          </w:p>
        </w:tc>
      </w:tr>
      <w:tr w:rsidR="0055664B" w14:paraId="6CD0B66F" w14:textId="77777777">
        <w:trPr>
          <w:cantSplit/>
        </w:trPr>
        <w:tc>
          <w:tcPr>
            <w:tcW w:w="600" w:type="dxa"/>
          </w:tcPr>
          <w:p w14:paraId="6B5B24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2200" w:type="dxa"/>
          </w:tcPr>
          <w:p w14:paraId="2282DF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 en 0.0.0.0:61616 sin autenticación configurada</w:t>
            </w:r>
          </w:p>
        </w:tc>
        <w:tc>
          <w:tcPr>
            <w:tcW w:w="4806" w:type="dxa"/>
          </w:tcPr>
          <w:p w14:paraId="11BA08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Enlazar el broker a localhost o red interna y exigir TLS</w:t>
            </w:r>
          </w:p>
          <w:p w14:paraId="28E09B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Autenticación y ACL por cola</w:t>
            </w:r>
          </w:p>
          <w:p w14:paraId="4BC4E4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Firmar los mensajes de préstamo</w:t>
            </w:r>
          </w:p>
          <w:p w14:paraId="5B84BF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de conexiones y mensajes anómalos</w:t>
            </w:r>
          </w:p>
        </w:tc>
        <w:tc>
          <w:tcPr>
            <w:tcW w:w="1800" w:type="dxa"/>
          </w:tcPr>
          <w:p w14:paraId="0EBFBD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1B7FF0BD" w14:textId="77777777">
        <w:trPr>
          <w:cantSplit/>
        </w:trPr>
        <w:tc>
          <w:tcPr>
            <w:tcW w:w="600" w:type="dxa"/>
          </w:tcPr>
          <w:p w14:paraId="1DF3A0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2200" w:type="dxa"/>
          </w:tcPr>
          <w:p w14:paraId="266B03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Tráfico HTTP sin TLS: credenciales y cookie de sesión interceptables</w:t>
            </w:r>
          </w:p>
        </w:tc>
        <w:tc>
          <w:tcPr>
            <w:tcW w:w="4806" w:type="dxa"/>
          </w:tcPr>
          <w:p w14:paraId="7276E0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TLS 1.2+ obligatorio con redirección y HSTS</w:t>
            </w:r>
          </w:p>
          <w:p w14:paraId="55800A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Cookie con Secure y HttpOnly</w:t>
            </w:r>
          </w:p>
          <w:p w14:paraId="2C1269B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Monitoreo de certificados y de suites débiles</w:t>
            </w:r>
          </w:p>
        </w:tc>
        <w:tc>
          <w:tcPr>
            <w:tcW w:w="1800" w:type="dxa"/>
          </w:tcPr>
          <w:p w14:paraId="596F3CE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0D435950" w14:textId="77777777">
        <w:trPr>
          <w:cantSplit/>
        </w:trPr>
        <w:tc>
          <w:tcPr>
            <w:tcW w:w="600" w:type="dxa"/>
          </w:tcPr>
          <w:p w14:paraId="16434A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2200" w:type="dxa"/>
          </w:tcPr>
          <w:p w14:paraId="2E8BAB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CSRF sobre transferencias y pagos</w:t>
            </w:r>
          </w:p>
        </w:tc>
        <w:tc>
          <w:tcPr>
            <w:tcW w:w="4806" w:type="dxa"/>
          </w:tcPr>
          <w:p w14:paraId="3F38FDB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Token anti-CSRF por sesión en formularios de escritura</w:t>
            </w:r>
          </w:p>
          <w:p w14:paraId="086A89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Cookie SameSite=Lax/Strict</w:t>
            </w:r>
          </w:p>
          <w:p w14:paraId="7A1F93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Reautenticación o OTP para transferencias</w:t>
            </w:r>
          </w:p>
          <w:p w14:paraId="28619B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de transferencias atípicas</w:t>
            </w:r>
          </w:p>
        </w:tc>
        <w:tc>
          <w:tcPr>
            <w:tcW w:w="1800" w:type="dxa"/>
          </w:tcPr>
          <w:p w14:paraId="43862B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43495DF2" w14:textId="77777777">
        <w:trPr>
          <w:cantSplit/>
        </w:trPr>
        <w:tc>
          <w:tcPr>
            <w:tcW w:w="600" w:type="dxa"/>
          </w:tcPr>
          <w:p w14:paraId="6BC6058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</w:tc>
        <w:tc>
          <w:tcPr>
            <w:tcW w:w="2200" w:type="dxa"/>
          </w:tcPr>
          <w:p w14:paraId="26CF50C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Manipulación de monto o cuenta en operaciones monetarias</w:t>
            </w:r>
          </w:p>
        </w:tc>
        <w:tc>
          <w:tcPr>
            <w:tcW w:w="4806" w:type="dxa"/>
          </w:tcPr>
          <w:p w14:paraId="7A5BC8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Validación de negocio en el servidor: propiedad de la cuenta, saldo y límites</w:t>
            </w:r>
          </w:p>
          <w:p w14:paraId="2E22E7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Firma o HMAC de la solicitud y control de idempotencia</w:t>
            </w:r>
          </w:p>
          <w:p w14:paraId="0C062E4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TLS en tránsito</w:t>
            </w:r>
          </w:p>
          <w:p w14:paraId="642ACD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Reglas antifraude por monto y frecuencia</w:t>
            </w:r>
          </w:p>
        </w:tc>
        <w:tc>
          <w:tcPr>
            <w:tcW w:w="1800" w:type="dxa"/>
          </w:tcPr>
          <w:p w14:paraId="592A35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51EEA3BD" w14:textId="77777777">
        <w:trPr>
          <w:cantSplit/>
        </w:trPr>
        <w:tc>
          <w:tcPr>
            <w:tcW w:w="600" w:type="dxa"/>
          </w:tcPr>
          <w:p w14:paraId="70A5DF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2200" w:type="dxa"/>
          </w:tcPr>
          <w:p w14:paraId="2672D8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Fuerza bruta y credential stuffing sobre el login</w:t>
            </w:r>
          </w:p>
        </w:tc>
        <w:tc>
          <w:tcPr>
            <w:tcW w:w="4806" w:type="dxa"/>
          </w:tcPr>
          <w:p w14:paraId="1EF0DA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MFA y bloqueo progresivo de cuenta</w:t>
            </w:r>
          </w:p>
          <w:p w14:paraId="18FAF0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Rate limiting por IP y por usuario en el API Gateway</w:t>
            </w:r>
          </w:p>
          <w:p w14:paraId="6DF60C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Política de contraseñas y verificación contra listas filtradas</w:t>
            </w:r>
          </w:p>
          <w:p w14:paraId="133CCF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SIEM con alerta de fallos de login repetidos</w:t>
            </w:r>
          </w:p>
        </w:tc>
        <w:tc>
          <w:tcPr>
            <w:tcW w:w="1800" w:type="dxa"/>
          </w:tcPr>
          <w:p w14:paraId="1EEF00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6AE96AAF" w14:textId="77777777">
        <w:trPr>
          <w:cantSplit/>
        </w:trPr>
        <w:tc>
          <w:tcPr>
            <w:tcW w:w="600" w:type="dxa"/>
          </w:tcPr>
          <w:p w14:paraId="4B0C785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</w:tc>
        <w:tc>
          <w:tcPr>
            <w:tcW w:w="2200" w:type="dxa"/>
          </w:tcPr>
          <w:p w14:paraId="387113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Alteración del umbral de aprobación de préstamos y del modo de acceso</w:t>
            </w:r>
          </w:p>
        </w:tc>
        <w:tc>
          <w:tcPr>
            <w:tcW w:w="4806" w:type="dxa"/>
          </w:tcPr>
          <w:p w14:paraId="64FB29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Cambios de parámetros críticos con doble aprobación (cuatro ojos)</w:t>
            </w:r>
          </w:p>
          <w:p w14:paraId="1286457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Rangos válidos y límites máximos para el umbral</w:t>
            </w:r>
          </w:p>
          <w:p w14:paraId="4423EA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y auditoría de cambios de parámetros</w:t>
            </w:r>
          </w:p>
        </w:tc>
        <w:tc>
          <w:tcPr>
            <w:tcW w:w="1800" w:type="dxa"/>
          </w:tcPr>
          <w:p w14:paraId="30F2BA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32F1173F" w14:textId="77777777">
        <w:trPr>
          <w:cantSplit/>
        </w:trPr>
        <w:tc>
          <w:tcPr>
            <w:tcW w:w="600" w:type="dxa"/>
          </w:tcPr>
          <w:p w14:paraId="17AE9F8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2200" w:type="dxa"/>
          </w:tcPr>
          <w:p w14:paraId="212AE3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Cabeceras CORS abiertas a cualquier origen</w:t>
            </w:r>
          </w:p>
        </w:tc>
        <w:tc>
          <w:tcPr>
            <w:tcW w:w="4806" w:type="dxa"/>
          </w:tcPr>
          <w:p w14:paraId="0574B6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Lista blanca de orígenes permitidos</w:t>
            </w:r>
          </w:p>
          <w:p w14:paraId="697A15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No combinar CORS abierto con credenciales</w:t>
            </w:r>
          </w:p>
        </w:tc>
        <w:tc>
          <w:tcPr>
            <w:tcW w:w="1800" w:type="dxa"/>
          </w:tcPr>
          <w:p w14:paraId="0BA423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5E68FD83" w14:textId="77777777">
        <w:trPr>
          <w:cantSplit/>
        </w:trPr>
        <w:tc>
          <w:tcPr>
            <w:tcW w:w="600" w:type="dxa"/>
          </w:tcPr>
          <w:p w14:paraId="66159A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2200" w:type="dxa"/>
          </w:tcPr>
          <w:p w14:paraId="65CBD6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Falta de no repudio en transacciones</w:t>
            </w:r>
          </w:p>
        </w:tc>
        <w:tc>
          <w:tcPr>
            <w:tcW w:w="4806" w:type="dxa"/>
          </w:tcPr>
          <w:p w14:paraId="57DEB4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Confirmación con OTP o firma para operaciones relevantes</w:t>
            </w:r>
          </w:p>
          <w:p w14:paraId="15C4D9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Bitácora de auditoría con hash encadenado y sincronización de tiempo</w:t>
            </w:r>
          </w:p>
        </w:tc>
        <w:tc>
          <w:tcPr>
            <w:tcW w:w="1800" w:type="dxa"/>
          </w:tcPr>
          <w:p w14:paraId="3BCDBA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5BC72BA2" w14:textId="77777777">
        <w:trPr>
          <w:cantSplit/>
        </w:trPr>
        <w:tc>
          <w:tcPr>
            <w:tcW w:w="600" w:type="dxa"/>
          </w:tcPr>
          <w:p w14:paraId="7CD27F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2200" w:type="dxa"/>
          </w:tcPr>
          <w:p w14:paraId="327CD26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Acciones administrativas sin identidad ni auditoría</w:t>
            </w:r>
          </w:p>
        </w:tc>
        <w:tc>
          <w:tcPr>
            <w:tcW w:w="4806" w:type="dxa"/>
          </w:tcPr>
          <w:p w14:paraId="79A197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Cuentas nominales con roles para administración</w:t>
            </w:r>
          </w:p>
          <w:p w14:paraId="473A5BA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Log centralizado de acciones administrativas hacia el SIEM</w:t>
            </w:r>
          </w:p>
        </w:tc>
        <w:tc>
          <w:tcPr>
            <w:tcW w:w="1800" w:type="dxa"/>
          </w:tcPr>
          <w:p w14:paraId="24DA0A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09E3D4AE" w14:textId="77777777">
        <w:trPr>
          <w:cantSplit/>
        </w:trPr>
        <w:tc>
          <w:tcPr>
            <w:tcW w:w="600" w:type="dxa"/>
          </w:tcPr>
          <w:p w14:paraId="02E1DA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2200" w:type="dxa"/>
          </w:tcPr>
          <w:p w14:paraId="2D88CC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modificables y con datos sensibles</w:t>
            </w:r>
          </w:p>
        </w:tc>
        <w:tc>
          <w:tcPr>
            <w:tcW w:w="4806" w:type="dxa"/>
          </w:tcPr>
          <w:p w14:paraId="7420D0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Envío en tiempo real a un SIEM con almacenamiento de solo anexado</w:t>
            </w:r>
          </w:p>
          <w:p w14:paraId="29F381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Enmascarar datos personales en logs</w:t>
            </w:r>
          </w:p>
        </w:tc>
        <w:tc>
          <w:tcPr>
            <w:tcW w:w="1800" w:type="dxa"/>
          </w:tcPr>
          <w:p w14:paraId="7DC1ABA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Bajo → Bajo</w:t>
            </w:r>
          </w:p>
        </w:tc>
      </w:tr>
      <w:tr w:rsidR="0055664B" w14:paraId="769CFF72" w14:textId="77777777">
        <w:trPr>
          <w:cantSplit/>
        </w:trPr>
        <w:tc>
          <w:tcPr>
            <w:tcW w:w="600" w:type="dxa"/>
          </w:tcPr>
          <w:p w14:paraId="0462DF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T18</w:t>
            </w:r>
          </w:p>
        </w:tc>
        <w:tc>
          <w:tcPr>
            <w:tcW w:w="2200" w:type="dxa"/>
          </w:tcPr>
          <w:p w14:paraId="6036EE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Denegación de servicio por API sin límites</w:t>
            </w:r>
          </w:p>
        </w:tc>
        <w:tc>
          <w:tcPr>
            <w:tcW w:w="4806" w:type="dxa"/>
          </w:tcPr>
          <w:p w14:paraId="36771A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Rate limiting y cuotas en el API Gateway</w:t>
            </w:r>
          </w:p>
          <w:p w14:paraId="122DAA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Protección anti-DDoS y autoescalado</w:t>
            </w:r>
          </w:p>
          <w:p w14:paraId="7CF785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de picos de tráfico</w:t>
            </w:r>
          </w:p>
        </w:tc>
        <w:tc>
          <w:tcPr>
            <w:tcW w:w="1800" w:type="dxa"/>
          </w:tcPr>
          <w:p w14:paraId="3EBD13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435CD0D5" w14:textId="77777777">
        <w:trPr>
          <w:cantSplit/>
        </w:trPr>
        <w:tc>
          <w:tcPr>
            <w:tcW w:w="600" w:type="dxa"/>
          </w:tcPr>
          <w:p w14:paraId="0000B3C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2200" w:type="dxa"/>
          </w:tcPr>
          <w:p w14:paraId="35FC7FA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Inundación de solicitudes de préstamo sobre la cola JMS</w:t>
            </w:r>
          </w:p>
        </w:tc>
        <w:tc>
          <w:tcPr>
            <w:tcW w:w="4806" w:type="dxa"/>
          </w:tcPr>
          <w:p w14:paraId="32B903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Límite de solicitudes por cliente y tamaño de cola</w:t>
            </w:r>
          </w:p>
          <w:p w14:paraId="7ED2CB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Cola persistente y dead-letter queue</w:t>
            </w:r>
          </w:p>
          <w:p w14:paraId="77C573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de profundidad de cola</w:t>
            </w:r>
          </w:p>
        </w:tc>
        <w:tc>
          <w:tcPr>
            <w:tcW w:w="1800" w:type="dxa"/>
          </w:tcPr>
          <w:p w14:paraId="6CE5B4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295779CF" w14:textId="77777777">
        <w:trPr>
          <w:cantSplit/>
        </w:trPr>
        <w:tc>
          <w:tcPr>
            <w:tcW w:w="600" w:type="dxa"/>
          </w:tcPr>
          <w:p w14:paraId="5AC458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2200" w:type="dxa"/>
          </w:tcPr>
          <w:p w14:paraId="3984915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del proveedor de préstamos o respuesta falsa</w:t>
            </w:r>
          </w:p>
        </w:tc>
        <w:tc>
          <w:tcPr>
            <w:tcW w:w="4806" w:type="dxa"/>
          </w:tcPr>
          <w:p w14:paraId="2DC8010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TLS mutuo y firma de mensajes con validación de correlación</w:t>
            </w:r>
          </w:p>
          <w:p w14:paraId="6CDC6E9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Conciliación de aprobaciones contra el proveedor</w:t>
            </w:r>
          </w:p>
        </w:tc>
        <w:tc>
          <w:tcPr>
            <w:tcW w:w="1800" w:type="dxa"/>
          </w:tcPr>
          <w:p w14:paraId="5F8C6D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7BDAF6C2" w14:textId="77777777">
        <w:trPr>
          <w:cantSplit/>
        </w:trPr>
        <w:tc>
          <w:tcPr>
            <w:tcW w:w="600" w:type="dxa"/>
          </w:tcPr>
          <w:p w14:paraId="1BE8C1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2200" w:type="dxa"/>
          </w:tcPr>
          <w:p w14:paraId="4B4F95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Procesamiento XML inseguro en servicios SOAP (XXE)</w:t>
            </w:r>
          </w:p>
        </w:tc>
        <w:tc>
          <w:tcPr>
            <w:tcW w:w="4806" w:type="dxa"/>
          </w:tcPr>
          <w:p w14:paraId="47276B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Deshabilitar DTD y entidades externas en el parser</w:t>
            </w:r>
          </w:p>
          <w:p w14:paraId="4E652D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Validar contra XSD y limitar tamaño de mensaje</w:t>
            </w:r>
          </w:p>
          <w:p w14:paraId="1A87F5F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Egress filtering desde el servidor</w:t>
            </w:r>
          </w:p>
        </w:tc>
        <w:tc>
          <w:tcPr>
            <w:tcW w:w="1800" w:type="dxa"/>
          </w:tcPr>
          <w:p w14:paraId="6CF486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1C89C25A" w14:textId="77777777">
        <w:trPr>
          <w:cantSplit/>
        </w:trPr>
        <w:tc>
          <w:tcPr>
            <w:tcW w:w="600" w:type="dxa"/>
          </w:tcPr>
          <w:p w14:paraId="1A3976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2200" w:type="dxa"/>
          </w:tcPr>
          <w:p w14:paraId="297F0B2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Dependencias de terceros sin gestión de vulnerabilidades</w:t>
            </w:r>
          </w:p>
        </w:tc>
        <w:tc>
          <w:tcPr>
            <w:tcW w:w="4806" w:type="dxa"/>
          </w:tcPr>
          <w:p w14:paraId="09DACB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SCA en el pipeline (OWASP Dependency-Check) y SBOM</w:t>
            </w:r>
          </w:p>
          <w:p w14:paraId="29AC984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Parcheo periódico de Tomcat y ActiveMQ</w:t>
            </w:r>
          </w:p>
        </w:tc>
        <w:tc>
          <w:tcPr>
            <w:tcW w:w="1800" w:type="dxa"/>
          </w:tcPr>
          <w:p w14:paraId="5D5B8E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5F5CF3E5" w14:textId="77777777"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 w14:paraId="6BF1B7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</w:tcPr>
          <w:p w14:paraId="332833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Cookie de sesión sin atributos de endurecimiento verificados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 w14:paraId="285F57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Cookie Secure/HttpOnly/SameSite, regeneración del ID al autenticar y timeout de 15 minutos</w:t>
            </w:r>
          </w:p>
          <w:p w14:paraId="6CAC23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Detección de sesiones simultáneas desde orígenes distintos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 w14:paraId="22D84F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</w:tbl>
    <w:p w14:paraId="0C057A0D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492800BD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3" w:name="_Toc900123"/>
      <w:r>
        <w:rPr>
          <w:b/>
          <w:lang w:val="es-GT"/>
        </w:rPr>
        <w:t>8. Matriz de riesgos y remediación</w:t>
      </w:r>
      <w:bookmarkEnd w:id="23"/>
    </w:p>
    <w:p w14:paraId="1EB13F75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12</w:t>
      </w:r>
    </w:p>
    <w:p w14:paraId="10DC3B75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Plan de remediación ordenado por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900"/>
        <w:gridCol w:w="1100"/>
        <w:gridCol w:w="3606"/>
        <w:gridCol w:w="1200"/>
      </w:tblGrid>
      <w:tr w:rsidR="0055664B" w14:paraId="4BF3B325" w14:textId="77777777"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6BE1A3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 w14:paraId="4A525D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Riesgo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 w14:paraId="54D5FBA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Severidad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 w14:paraId="302326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Responsable</w:t>
            </w:r>
          </w:p>
        </w:tc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 w14:paraId="4F90B1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Acción correctiva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 w14:paraId="7CFE89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Fecha objetivo</w:t>
            </w:r>
          </w:p>
        </w:tc>
      </w:tr>
      <w:tr w:rsidR="0055664B" w14:paraId="0CC66304" w14:textId="77777777">
        <w:trPr>
          <w:cantSplit/>
        </w:trPr>
        <w:tc>
          <w:tcPr>
            <w:tcW w:w="600" w:type="dxa"/>
          </w:tcPr>
          <w:p w14:paraId="5F2C66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2000" w:type="dxa"/>
          </w:tcPr>
          <w:p w14:paraId="4562A1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Inyección SQL en la actualización de clientes</w:t>
            </w:r>
          </w:p>
        </w:tc>
        <w:tc>
          <w:tcPr>
            <w:tcW w:w="900" w:type="dxa"/>
          </w:tcPr>
          <w:p w14:paraId="73EA75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04BB29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1B280E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Reemplazar la concatenación por parámetros con nombre y habilitar siempre SecureJdbcCustomerDao; agregar prueba unitaria de inyección</w:t>
            </w:r>
          </w:p>
        </w:tc>
        <w:tc>
          <w:tcPr>
            <w:tcW w:w="1200" w:type="dxa"/>
          </w:tcPr>
          <w:p w14:paraId="6ACE70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7C85453E" w14:textId="77777777">
        <w:trPr>
          <w:cantSplit/>
        </w:trPr>
        <w:tc>
          <w:tcPr>
            <w:tcW w:w="600" w:type="dxa"/>
          </w:tcPr>
          <w:p w14:paraId="31D137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2000" w:type="dxa"/>
          </w:tcPr>
          <w:p w14:paraId="425628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Páginas de administración fuera del control de sesión</w:t>
            </w:r>
          </w:p>
        </w:tc>
        <w:tc>
          <w:tcPr>
            <w:tcW w:w="900" w:type="dxa"/>
          </w:tcPr>
          <w:p w14:paraId="7E4C96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5B34BE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11793C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Proteger las rutas administrativas con rol ADMIN y MFA, y separarlas del acceso público</w:t>
            </w:r>
          </w:p>
        </w:tc>
        <w:tc>
          <w:tcPr>
            <w:tcW w:w="1200" w:type="dxa"/>
          </w:tcPr>
          <w:p w14:paraId="730E09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2E263CEC" w14:textId="77777777">
        <w:trPr>
          <w:cantSplit/>
        </w:trPr>
        <w:tc>
          <w:tcPr>
            <w:tcW w:w="600" w:type="dxa"/>
          </w:tcPr>
          <w:p w14:paraId="1FBE64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2000" w:type="dxa"/>
          </w:tcPr>
          <w:p w14:paraId="663070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900" w:type="dxa"/>
          </w:tcPr>
          <w:p w14:paraId="6B5A3A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7F80F8D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11D7FAD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de producción las operaciones de mantenimiento o protegerlas con OAuth 2.0 y scope administrativo detrás de un API Gateway</w:t>
            </w:r>
          </w:p>
        </w:tc>
        <w:tc>
          <w:tcPr>
            <w:tcW w:w="1200" w:type="dxa"/>
          </w:tcPr>
          <w:p w14:paraId="25BF12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68174314" w14:textId="77777777">
        <w:trPr>
          <w:cantSplit/>
        </w:trPr>
        <w:tc>
          <w:tcPr>
            <w:tcW w:w="600" w:type="dxa"/>
          </w:tcPr>
          <w:p w14:paraId="0BFBFC8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</w:tc>
        <w:tc>
          <w:tcPr>
            <w:tcW w:w="2000" w:type="dxa"/>
          </w:tcPr>
          <w:p w14:paraId="5D13BC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Credenciales viajan en la URL (GET /login/{usuario}/{contraseña})</w:t>
            </w:r>
          </w:p>
        </w:tc>
        <w:tc>
          <w:tcPr>
            <w:tcW w:w="900" w:type="dxa"/>
          </w:tcPr>
          <w:p w14:paraId="592900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1507B26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63544A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el login por GET y migrar a un flujo con token (OAuth 2.0/OIDC); depurar logs existentes</w:t>
            </w:r>
          </w:p>
        </w:tc>
        <w:tc>
          <w:tcPr>
            <w:tcW w:w="1200" w:type="dxa"/>
          </w:tcPr>
          <w:p w14:paraId="33A8A6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52203A6D" w14:textId="77777777">
        <w:trPr>
          <w:cantSplit/>
        </w:trPr>
        <w:tc>
          <w:tcPr>
            <w:tcW w:w="600" w:type="dxa"/>
          </w:tcPr>
          <w:p w14:paraId="5F7556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2000" w:type="dxa"/>
          </w:tcPr>
          <w:p w14:paraId="338BAA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Acceso a cuentas y clientes ajenos mediante identificadores (BOLA/IDOR)</w:t>
            </w:r>
          </w:p>
        </w:tc>
        <w:tc>
          <w:tcPr>
            <w:tcW w:w="900" w:type="dxa"/>
          </w:tcPr>
          <w:p w14:paraId="102746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4DD29C8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23CCB4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verificación de propiedad en cada operación por ID y pruebas automatizadas de BOLA</w:t>
            </w:r>
          </w:p>
        </w:tc>
        <w:tc>
          <w:tcPr>
            <w:tcW w:w="1200" w:type="dxa"/>
          </w:tcPr>
          <w:p w14:paraId="7F3FEAD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580F725C" w14:textId="77777777">
        <w:trPr>
          <w:cantSplit/>
        </w:trPr>
        <w:tc>
          <w:tcPr>
            <w:tcW w:w="600" w:type="dxa"/>
          </w:tcPr>
          <w:p w14:paraId="396E540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2000" w:type="dxa"/>
          </w:tcPr>
          <w:p w14:paraId="589A17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Contraseñas y SSN almacenados sin protección criptográfica</w:t>
            </w:r>
          </w:p>
        </w:tc>
        <w:tc>
          <w:tcPr>
            <w:tcW w:w="900" w:type="dxa"/>
          </w:tcPr>
          <w:p w14:paraId="2A7C32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79B1B5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317C6E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Migrar contraseñas a hash Argon2id y cifrar o tokenizar el SSN</w:t>
            </w:r>
          </w:p>
        </w:tc>
        <w:tc>
          <w:tcPr>
            <w:tcW w:w="1200" w:type="dxa"/>
          </w:tcPr>
          <w:p w14:paraId="0DAD9A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4C558731" w14:textId="77777777">
        <w:trPr>
          <w:cantSplit/>
        </w:trPr>
        <w:tc>
          <w:tcPr>
            <w:tcW w:w="600" w:type="dxa"/>
          </w:tcPr>
          <w:p w14:paraId="63A30A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2000" w:type="dxa"/>
          </w:tcPr>
          <w:p w14:paraId="00D359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Cuenta sa sin contraseña y puerto HyperSQL 9001 accesible</w:t>
            </w:r>
          </w:p>
        </w:tc>
        <w:tc>
          <w:tcPr>
            <w:tcW w:w="900" w:type="dxa"/>
          </w:tcPr>
          <w:p w14:paraId="472DB5A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3F9DEE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28C82A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Crear cuenta de servicio con mínimos privilegios, retirar sa, cerrar el puerto a la red y mover secretos a bóveda</w:t>
            </w:r>
          </w:p>
        </w:tc>
        <w:tc>
          <w:tcPr>
            <w:tcW w:w="1200" w:type="dxa"/>
          </w:tcPr>
          <w:p w14:paraId="22204D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5A943B33" w14:textId="77777777">
        <w:trPr>
          <w:cantSplit/>
        </w:trPr>
        <w:tc>
          <w:tcPr>
            <w:tcW w:w="600" w:type="dxa"/>
          </w:tcPr>
          <w:p w14:paraId="083034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2000" w:type="dxa"/>
          </w:tcPr>
          <w:p w14:paraId="3C683E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 en 0.0.0.0:61616 sin autenticación configurada</w:t>
            </w:r>
          </w:p>
        </w:tc>
        <w:tc>
          <w:tcPr>
            <w:tcW w:w="900" w:type="dxa"/>
          </w:tcPr>
          <w:p w14:paraId="063A39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02A9F5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4D444E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Restringir el listener a la red interna, habilitar autenticación, ACL y TLS en ActiveMQ</w:t>
            </w:r>
          </w:p>
        </w:tc>
        <w:tc>
          <w:tcPr>
            <w:tcW w:w="1200" w:type="dxa"/>
          </w:tcPr>
          <w:p w14:paraId="50795A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299DB2D9" w14:textId="77777777">
        <w:trPr>
          <w:cantSplit/>
        </w:trPr>
        <w:tc>
          <w:tcPr>
            <w:tcW w:w="600" w:type="dxa"/>
          </w:tcPr>
          <w:p w14:paraId="03AFFB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2000" w:type="dxa"/>
          </w:tcPr>
          <w:p w14:paraId="1142E9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Tráfico HTTP sin TLS: credenciales y cookie de sesión interceptables</w:t>
            </w:r>
          </w:p>
        </w:tc>
        <w:tc>
          <w:tcPr>
            <w:tcW w:w="900" w:type="dxa"/>
          </w:tcPr>
          <w:p w14:paraId="4EF26D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4561F3B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59D0B65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Terminar TLS en un balanceador o en Tomcat, activar HSTS y marcar cookies Secure/HttpOnly</w:t>
            </w:r>
          </w:p>
        </w:tc>
        <w:tc>
          <w:tcPr>
            <w:tcW w:w="1200" w:type="dxa"/>
          </w:tcPr>
          <w:p w14:paraId="36EFD3D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55D7323E" w14:textId="77777777">
        <w:trPr>
          <w:cantSplit/>
        </w:trPr>
        <w:tc>
          <w:tcPr>
            <w:tcW w:w="600" w:type="dxa"/>
          </w:tcPr>
          <w:p w14:paraId="21E2F1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2000" w:type="dxa"/>
          </w:tcPr>
          <w:p w14:paraId="1A6987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CSRF sobre transferencias y pagos</w:t>
            </w:r>
          </w:p>
        </w:tc>
        <w:tc>
          <w:tcPr>
            <w:tcW w:w="900" w:type="dxa"/>
          </w:tcPr>
          <w:p w14:paraId="5D7A03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2CD3D9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564CAE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Agregar token CSRF y SameSite en todos los formularios y exigir OTP para operaciones de alto valor</w:t>
            </w:r>
          </w:p>
        </w:tc>
        <w:tc>
          <w:tcPr>
            <w:tcW w:w="1200" w:type="dxa"/>
          </w:tcPr>
          <w:p w14:paraId="56C81B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692F99F2" w14:textId="77777777">
        <w:trPr>
          <w:cantSplit/>
        </w:trPr>
        <w:tc>
          <w:tcPr>
            <w:tcW w:w="600" w:type="dxa"/>
          </w:tcPr>
          <w:p w14:paraId="3BAF4B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</w:tc>
        <w:tc>
          <w:tcPr>
            <w:tcW w:w="2000" w:type="dxa"/>
          </w:tcPr>
          <w:p w14:paraId="4EFC5B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Manipulación de monto o cuenta en operaciones monetarias</w:t>
            </w:r>
          </w:p>
        </w:tc>
        <w:tc>
          <w:tcPr>
            <w:tcW w:w="900" w:type="dxa"/>
          </w:tcPr>
          <w:p w14:paraId="425CAC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7856C4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33BE191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Validar propiedad, saldo y límites en servidor; agregar firma de solicitud e idempotencia</w:t>
            </w:r>
          </w:p>
        </w:tc>
        <w:tc>
          <w:tcPr>
            <w:tcW w:w="1200" w:type="dxa"/>
          </w:tcPr>
          <w:p w14:paraId="1ED4EA5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45196983" w14:textId="77777777">
        <w:trPr>
          <w:cantSplit/>
        </w:trPr>
        <w:tc>
          <w:tcPr>
            <w:tcW w:w="600" w:type="dxa"/>
          </w:tcPr>
          <w:p w14:paraId="6231C0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2000" w:type="dxa"/>
          </w:tcPr>
          <w:p w14:paraId="29B44F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Fuerza bruta y credential stuffing sobre el login</w:t>
            </w:r>
          </w:p>
        </w:tc>
        <w:tc>
          <w:tcPr>
            <w:tcW w:w="900" w:type="dxa"/>
          </w:tcPr>
          <w:p w14:paraId="056D7F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54B926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5E0DB1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MFA, bloqueo progresivo y rate limiting en el gateway</w:t>
            </w:r>
          </w:p>
        </w:tc>
        <w:tc>
          <w:tcPr>
            <w:tcW w:w="1200" w:type="dxa"/>
          </w:tcPr>
          <w:p w14:paraId="4E5244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037CCAA4" w14:textId="77777777">
        <w:trPr>
          <w:cantSplit/>
        </w:trPr>
        <w:tc>
          <w:tcPr>
            <w:tcW w:w="600" w:type="dxa"/>
          </w:tcPr>
          <w:p w14:paraId="7AF1B0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T13</w:t>
            </w:r>
          </w:p>
        </w:tc>
        <w:tc>
          <w:tcPr>
            <w:tcW w:w="2000" w:type="dxa"/>
          </w:tcPr>
          <w:p w14:paraId="24FD329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Alteración del umbral de aprobación de préstamos y del modo de acceso</w:t>
            </w:r>
          </w:p>
        </w:tc>
        <w:tc>
          <w:tcPr>
            <w:tcW w:w="900" w:type="dxa"/>
          </w:tcPr>
          <w:p w14:paraId="208B2C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1635A8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237AC8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Imponer doble aprobación, validación de rangos y auditoría de los parámetros críticos</w:t>
            </w:r>
          </w:p>
        </w:tc>
        <w:tc>
          <w:tcPr>
            <w:tcW w:w="1200" w:type="dxa"/>
          </w:tcPr>
          <w:p w14:paraId="386B32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1C5B403" w14:textId="77777777">
        <w:trPr>
          <w:cantSplit/>
        </w:trPr>
        <w:tc>
          <w:tcPr>
            <w:tcW w:w="600" w:type="dxa"/>
          </w:tcPr>
          <w:p w14:paraId="6576B8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2000" w:type="dxa"/>
          </w:tcPr>
          <w:p w14:paraId="1687D5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Cabeceras CORS abiertas a cualquier origen</w:t>
            </w:r>
          </w:p>
        </w:tc>
        <w:tc>
          <w:tcPr>
            <w:tcW w:w="900" w:type="dxa"/>
          </w:tcPr>
          <w:p w14:paraId="741696A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219F12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6E83BD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Sustituir allowAllOrigins por una lista de orígenes autorizados</w:t>
            </w:r>
          </w:p>
        </w:tc>
        <w:tc>
          <w:tcPr>
            <w:tcW w:w="1200" w:type="dxa"/>
          </w:tcPr>
          <w:p w14:paraId="4EFAAC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16EFEB7A" w14:textId="77777777">
        <w:trPr>
          <w:cantSplit/>
        </w:trPr>
        <w:tc>
          <w:tcPr>
            <w:tcW w:w="600" w:type="dxa"/>
          </w:tcPr>
          <w:p w14:paraId="18978C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2000" w:type="dxa"/>
          </w:tcPr>
          <w:p w14:paraId="0904CA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Falta de no repudio en transacciones</w:t>
            </w:r>
          </w:p>
        </w:tc>
        <w:tc>
          <w:tcPr>
            <w:tcW w:w="900" w:type="dxa"/>
          </w:tcPr>
          <w:p w14:paraId="17D34F5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209767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6B57D6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evidencia de consentimiento (OTP, IP, dispositivo, hora) por cada transacción</w:t>
            </w:r>
          </w:p>
        </w:tc>
        <w:tc>
          <w:tcPr>
            <w:tcW w:w="1200" w:type="dxa"/>
          </w:tcPr>
          <w:p w14:paraId="23DE019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25720B6" w14:textId="77777777">
        <w:trPr>
          <w:cantSplit/>
        </w:trPr>
        <w:tc>
          <w:tcPr>
            <w:tcW w:w="600" w:type="dxa"/>
          </w:tcPr>
          <w:p w14:paraId="0D2977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2000" w:type="dxa"/>
          </w:tcPr>
          <w:p w14:paraId="0ACE84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Acciones administrativas sin identidad ni auditoría</w:t>
            </w:r>
          </w:p>
        </w:tc>
        <w:tc>
          <w:tcPr>
            <w:tcW w:w="900" w:type="dxa"/>
          </w:tcPr>
          <w:p w14:paraId="2FC837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2F0A1E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323E5C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usuario, hora y valor anterior y nuevo en cada cambio administrativo</w:t>
            </w:r>
          </w:p>
        </w:tc>
        <w:tc>
          <w:tcPr>
            <w:tcW w:w="1200" w:type="dxa"/>
          </w:tcPr>
          <w:p w14:paraId="1D5FE1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C81C6F6" w14:textId="77777777">
        <w:trPr>
          <w:cantSplit/>
        </w:trPr>
        <w:tc>
          <w:tcPr>
            <w:tcW w:w="600" w:type="dxa"/>
          </w:tcPr>
          <w:p w14:paraId="638E95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T18</w:t>
            </w:r>
          </w:p>
        </w:tc>
        <w:tc>
          <w:tcPr>
            <w:tcW w:w="2000" w:type="dxa"/>
          </w:tcPr>
          <w:p w14:paraId="701D34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Denegación de servicio por API sin límites</w:t>
            </w:r>
          </w:p>
        </w:tc>
        <w:tc>
          <w:tcPr>
            <w:tcW w:w="900" w:type="dxa"/>
          </w:tcPr>
          <w:p w14:paraId="2B6499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4D606A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06D476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Poner un API Gateway con cuotas y protección anti-DDoS delante de los servicios</w:t>
            </w:r>
          </w:p>
        </w:tc>
        <w:tc>
          <w:tcPr>
            <w:tcW w:w="1200" w:type="dxa"/>
          </w:tcPr>
          <w:p w14:paraId="1FD369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C50EB58" w14:textId="77777777">
        <w:trPr>
          <w:cantSplit/>
        </w:trPr>
        <w:tc>
          <w:tcPr>
            <w:tcW w:w="600" w:type="dxa"/>
          </w:tcPr>
          <w:p w14:paraId="69BA7E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2000" w:type="dxa"/>
          </w:tcPr>
          <w:p w14:paraId="32A0F6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Inundación de solicitudes de préstamo sobre la cola JMS</w:t>
            </w:r>
          </w:p>
        </w:tc>
        <w:tc>
          <w:tcPr>
            <w:tcW w:w="900" w:type="dxa"/>
          </w:tcPr>
          <w:p w14:paraId="640F9C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45F275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019EC5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Definir cuotas, cola persistente y monitoreo de profundidad</w:t>
            </w:r>
          </w:p>
        </w:tc>
        <w:tc>
          <w:tcPr>
            <w:tcW w:w="1200" w:type="dxa"/>
          </w:tcPr>
          <w:p w14:paraId="42FA02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443191EA" w14:textId="77777777">
        <w:trPr>
          <w:cantSplit/>
        </w:trPr>
        <w:tc>
          <w:tcPr>
            <w:tcW w:w="600" w:type="dxa"/>
          </w:tcPr>
          <w:p w14:paraId="1761489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2000" w:type="dxa"/>
          </w:tcPr>
          <w:p w14:paraId="0A2A96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Cookie de sesión sin atributos de endurecimiento verificados</w:t>
            </w:r>
          </w:p>
        </w:tc>
        <w:tc>
          <w:tcPr>
            <w:tcW w:w="900" w:type="dxa"/>
          </w:tcPr>
          <w:p w14:paraId="1EDBCD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716448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2F3C68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Configurar atributos de cookie, rotación de sesión y expiración por inactividad</w:t>
            </w:r>
          </w:p>
        </w:tc>
        <w:tc>
          <w:tcPr>
            <w:tcW w:w="1200" w:type="dxa"/>
          </w:tcPr>
          <w:p w14:paraId="3B6F9E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5F4DEFCC" w14:textId="77777777">
        <w:trPr>
          <w:cantSplit/>
        </w:trPr>
        <w:tc>
          <w:tcPr>
            <w:tcW w:w="600" w:type="dxa"/>
          </w:tcPr>
          <w:p w14:paraId="3CB79C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2000" w:type="dxa"/>
          </w:tcPr>
          <w:p w14:paraId="6AF5A9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del proveedor de préstamos o respuesta falsa</w:t>
            </w:r>
          </w:p>
        </w:tc>
        <w:tc>
          <w:tcPr>
            <w:tcW w:w="900" w:type="dxa"/>
          </w:tcPr>
          <w:p w14:paraId="6D7DCC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0E2287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5DA4EF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Exigir mTLS y firma en la integración con proveedores</w:t>
            </w:r>
          </w:p>
        </w:tc>
        <w:tc>
          <w:tcPr>
            <w:tcW w:w="1200" w:type="dxa"/>
          </w:tcPr>
          <w:p w14:paraId="1B95DD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2027-10-05</w:t>
            </w:r>
          </w:p>
        </w:tc>
      </w:tr>
      <w:tr w:rsidR="0055664B" w14:paraId="5522F0F9" w14:textId="77777777">
        <w:trPr>
          <w:cantSplit/>
        </w:trPr>
        <w:tc>
          <w:tcPr>
            <w:tcW w:w="600" w:type="dxa"/>
          </w:tcPr>
          <w:p w14:paraId="4BF5482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2000" w:type="dxa"/>
          </w:tcPr>
          <w:p w14:paraId="1BDE52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Procesamiento XML inseguro en servicios SOAP (XXE)</w:t>
            </w:r>
          </w:p>
        </w:tc>
        <w:tc>
          <w:tcPr>
            <w:tcW w:w="900" w:type="dxa"/>
          </w:tcPr>
          <w:p w14:paraId="3AFE41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4718D7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1F07F27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Endurecer el parser XML y validar los mensajes contra el esquema</w:t>
            </w:r>
          </w:p>
        </w:tc>
        <w:tc>
          <w:tcPr>
            <w:tcW w:w="1200" w:type="dxa"/>
          </w:tcPr>
          <w:p w14:paraId="0EEDD5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2027-10-05</w:t>
            </w:r>
          </w:p>
        </w:tc>
      </w:tr>
      <w:tr w:rsidR="0055664B" w14:paraId="645CB9CB" w14:textId="77777777">
        <w:trPr>
          <w:cantSplit/>
        </w:trPr>
        <w:tc>
          <w:tcPr>
            <w:tcW w:w="600" w:type="dxa"/>
          </w:tcPr>
          <w:p w14:paraId="388369E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2000" w:type="dxa"/>
          </w:tcPr>
          <w:p w14:paraId="2481CC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Dependencias de terceros sin gestión de vulnerabilidades</w:t>
            </w:r>
          </w:p>
        </w:tc>
        <w:tc>
          <w:tcPr>
            <w:tcW w:w="900" w:type="dxa"/>
          </w:tcPr>
          <w:p w14:paraId="228A97C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39EE89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0F1497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Integrar SCA y SBOM al pipeline con política de fallo por severidad</w:t>
            </w:r>
          </w:p>
        </w:tc>
        <w:tc>
          <w:tcPr>
            <w:tcW w:w="1200" w:type="dxa"/>
          </w:tcPr>
          <w:p w14:paraId="2404B9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2027-10-05</w:t>
            </w:r>
          </w:p>
        </w:tc>
      </w:tr>
      <w:tr w:rsidR="0055664B" w14:paraId="14C829D5" w14:textId="77777777"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 w14:paraId="545089A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 w14:paraId="30BD642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modificables y con datos sensibles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 w14:paraId="6CB8AEA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Bajo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 w14:paraId="0411C9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  <w:tcBorders>
              <w:bottom w:val="single" w:sz="6" w:space="0" w:color="000000"/>
            </w:tcBorders>
          </w:tcPr>
          <w:p w14:paraId="3963D66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Centralizar logs, protegerlos contra modificación y enmascarar datos sensibles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 w14:paraId="462501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</w:tbl>
    <w:p w14:paraId="5DF99B75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Los responsables son roles genéricos y las fechas parten del 5 de octubre de 2026. Las amenazas críticas se programan primero. Elaboración propia.</w:t>
      </w:r>
    </w:p>
    <w:p w14:paraId="4BCDB17E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4" w:name="_Toc900124"/>
      <w:r>
        <w:rPr>
          <w:b/>
          <w:lang w:val="es-GT"/>
        </w:rPr>
        <w:t>9. Roadmap de mejoras</w:t>
      </w:r>
      <w:bookmarkEnd w:id="24"/>
    </w:p>
    <w:p w14:paraId="2D1F0E62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13</w:t>
      </w:r>
    </w:p>
    <w:p w14:paraId="1B7796C0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Roadmap de mejoras por horizonte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500"/>
        <w:gridCol w:w="600"/>
        <w:gridCol w:w="1000"/>
        <w:gridCol w:w="4806"/>
        <w:gridCol w:w="1500"/>
      </w:tblGrid>
      <w:tr w:rsidR="0055664B" w14:paraId="285B5884" w14:textId="77777777">
        <w:trPr>
          <w:cantSplit/>
          <w:tblHeader/>
        </w:trPr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 w14:paraId="55DF12B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Horizonte</w:t>
            </w:r>
          </w:p>
        </w:tc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69DE2E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0BA249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Severidad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 w14:paraId="6BE25A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Acción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 w14:paraId="65A93B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Responsable</w:t>
            </w:r>
          </w:p>
        </w:tc>
      </w:tr>
      <w:tr w:rsidR="0055664B" w14:paraId="54BA7CCB" w14:textId="77777777">
        <w:trPr>
          <w:cantSplit/>
        </w:trPr>
        <w:tc>
          <w:tcPr>
            <w:tcW w:w="1500" w:type="dxa"/>
          </w:tcPr>
          <w:p w14:paraId="535F855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128B15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7CCD40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1000" w:type="dxa"/>
          </w:tcPr>
          <w:p w14:paraId="69214D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3D9BDE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Reemplazar la concatenación por parámetros con nombre y habilitar siempre SecureJdbcCustomerDao; agregar prueba unitaria de inyección</w:t>
            </w:r>
          </w:p>
        </w:tc>
        <w:tc>
          <w:tcPr>
            <w:tcW w:w="1500" w:type="dxa"/>
          </w:tcPr>
          <w:p w14:paraId="1FBDF0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744BADA3" w14:textId="77777777">
        <w:trPr>
          <w:cantSplit/>
        </w:trPr>
        <w:tc>
          <w:tcPr>
            <w:tcW w:w="1500" w:type="dxa"/>
          </w:tcPr>
          <w:p w14:paraId="115258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1F108D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591729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1000" w:type="dxa"/>
          </w:tcPr>
          <w:p w14:paraId="68AFE59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3F0724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Proteger las rutas administrativas con rol ADMIN y MFA, y separarlas del acceso público</w:t>
            </w:r>
          </w:p>
        </w:tc>
        <w:tc>
          <w:tcPr>
            <w:tcW w:w="1500" w:type="dxa"/>
          </w:tcPr>
          <w:p w14:paraId="0FFCE7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67739C87" w14:textId="77777777">
        <w:trPr>
          <w:cantSplit/>
        </w:trPr>
        <w:tc>
          <w:tcPr>
            <w:tcW w:w="1500" w:type="dxa"/>
          </w:tcPr>
          <w:p w14:paraId="165146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471887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132031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1000" w:type="dxa"/>
          </w:tcPr>
          <w:p w14:paraId="55087E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41F535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de producción las operaciones de mantenimiento o protegerlas con OAuth 2.0 y scope administrativo detrás de un API Gateway</w:t>
            </w:r>
          </w:p>
        </w:tc>
        <w:tc>
          <w:tcPr>
            <w:tcW w:w="1500" w:type="dxa"/>
          </w:tcPr>
          <w:p w14:paraId="771122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448B8AAC" w14:textId="77777777">
        <w:trPr>
          <w:cantSplit/>
        </w:trPr>
        <w:tc>
          <w:tcPr>
            <w:tcW w:w="1500" w:type="dxa"/>
          </w:tcPr>
          <w:p w14:paraId="5948C6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580265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6EF9EF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</w:tc>
        <w:tc>
          <w:tcPr>
            <w:tcW w:w="1000" w:type="dxa"/>
          </w:tcPr>
          <w:p w14:paraId="0568A0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19D802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el login por GET y migrar a un flujo con token (OAuth 2.0/OIDC); depurar logs existentes</w:t>
            </w:r>
          </w:p>
        </w:tc>
        <w:tc>
          <w:tcPr>
            <w:tcW w:w="1500" w:type="dxa"/>
          </w:tcPr>
          <w:p w14:paraId="0EED66C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30905AD5" w14:textId="77777777">
        <w:trPr>
          <w:cantSplit/>
        </w:trPr>
        <w:tc>
          <w:tcPr>
            <w:tcW w:w="1500" w:type="dxa"/>
          </w:tcPr>
          <w:p w14:paraId="3853C7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012492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731099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1000" w:type="dxa"/>
          </w:tcPr>
          <w:p w14:paraId="5ECCBE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6FA2CF0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verificación de propiedad en cada operación por ID y pruebas automatizadas de BOLA</w:t>
            </w:r>
          </w:p>
        </w:tc>
        <w:tc>
          <w:tcPr>
            <w:tcW w:w="1500" w:type="dxa"/>
          </w:tcPr>
          <w:p w14:paraId="53EC6F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5E4FEFC1" w14:textId="77777777">
        <w:trPr>
          <w:cantSplit/>
        </w:trPr>
        <w:tc>
          <w:tcPr>
            <w:tcW w:w="1500" w:type="dxa"/>
          </w:tcPr>
          <w:p w14:paraId="2CF959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74F5C3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1366F0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1000" w:type="dxa"/>
          </w:tcPr>
          <w:p w14:paraId="6F3130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4D0B8B6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Crear cuenta de servicio con mínimos privilegios, retirar sa, cerrar el puerto a la red y mover secretos a bóveda</w:t>
            </w:r>
          </w:p>
        </w:tc>
        <w:tc>
          <w:tcPr>
            <w:tcW w:w="1500" w:type="dxa"/>
          </w:tcPr>
          <w:p w14:paraId="4EEFBDC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2DF3BA3D" w14:textId="77777777">
        <w:trPr>
          <w:cantSplit/>
        </w:trPr>
        <w:tc>
          <w:tcPr>
            <w:tcW w:w="1500" w:type="dxa"/>
          </w:tcPr>
          <w:p w14:paraId="3BAD9A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0DF9D8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44F392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1000" w:type="dxa"/>
          </w:tcPr>
          <w:p w14:paraId="4F583B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06E421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Restringir el listener a la red interna, habilitar autenticación, ACL y TLS en ActiveMQ</w:t>
            </w:r>
          </w:p>
        </w:tc>
        <w:tc>
          <w:tcPr>
            <w:tcW w:w="1500" w:type="dxa"/>
          </w:tcPr>
          <w:p w14:paraId="78D5679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39F2EAB4" w14:textId="77777777">
        <w:trPr>
          <w:cantSplit/>
        </w:trPr>
        <w:tc>
          <w:tcPr>
            <w:tcW w:w="1500" w:type="dxa"/>
          </w:tcPr>
          <w:p w14:paraId="7A3C7A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7D3146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667A7C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1000" w:type="dxa"/>
          </w:tcPr>
          <w:p w14:paraId="040791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315348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Terminar TLS en un balanceador o en Tomcat, activar HSTS y marcar cookies Secure/HttpOnly</w:t>
            </w:r>
          </w:p>
        </w:tc>
        <w:tc>
          <w:tcPr>
            <w:tcW w:w="1500" w:type="dxa"/>
          </w:tcPr>
          <w:p w14:paraId="63010A3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4E43C1BD" w14:textId="77777777">
        <w:trPr>
          <w:cantSplit/>
        </w:trPr>
        <w:tc>
          <w:tcPr>
            <w:tcW w:w="1500" w:type="dxa"/>
          </w:tcPr>
          <w:p w14:paraId="3722D0B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4DAE91D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3D1EB5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1000" w:type="dxa"/>
          </w:tcPr>
          <w:p w14:paraId="5E2FB1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66BCA6B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MFA, bloqueo progresivo y rate limiting en el gateway</w:t>
            </w:r>
          </w:p>
        </w:tc>
        <w:tc>
          <w:tcPr>
            <w:tcW w:w="1500" w:type="dxa"/>
          </w:tcPr>
          <w:p w14:paraId="6E5502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4450D590" w14:textId="77777777">
        <w:trPr>
          <w:cantSplit/>
        </w:trPr>
        <w:tc>
          <w:tcPr>
            <w:tcW w:w="1500" w:type="dxa"/>
          </w:tcPr>
          <w:p w14:paraId="186C58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0F9CAA8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0846F7D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1000" w:type="dxa"/>
          </w:tcPr>
          <w:p w14:paraId="259F34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67BC1E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Sustituir allowAllOrigins por una lista de orígenes autorizados</w:t>
            </w:r>
          </w:p>
        </w:tc>
        <w:tc>
          <w:tcPr>
            <w:tcW w:w="1500" w:type="dxa"/>
          </w:tcPr>
          <w:p w14:paraId="36DFD7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1ED322FC" w14:textId="77777777">
        <w:trPr>
          <w:cantSplit/>
        </w:trPr>
        <w:tc>
          <w:tcPr>
            <w:tcW w:w="1500" w:type="dxa"/>
          </w:tcPr>
          <w:p w14:paraId="6C1DDB1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5069E8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0A00C2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1000" w:type="dxa"/>
          </w:tcPr>
          <w:p w14:paraId="5A266F7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0F8F4C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Migrar contraseñas a hash Argon2id y cifrar o tokenizar el SSN</w:t>
            </w:r>
          </w:p>
        </w:tc>
        <w:tc>
          <w:tcPr>
            <w:tcW w:w="1500" w:type="dxa"/>
          </w:tcPr>
          <w:p w14:paraId="07673E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4154CD94" w14:textId="77777777">
        <w:trPr>
          <w:cantSplit/>
        </w:trPr>
        <w:tc>
          <w:tcPr>
            <w:tcW w:w="1500" w:type="dxa"/>
          </w:tcPr>
          <w:p w14:paraId="24F1DE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6DE96D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2F2C4F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1000" w:type="dxa"/>
          </w:tcPr>
          <w:p w14:paraId="51E874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5DD406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Agregar token CSRF y SameSite en todos los formularios y exigir OTP para operaciones de alto valor</w:t>
            </w:r>
          </w:p>
        </w:tc>
        <w:tc>
          <w:tcPr>
            <w:tcW w:w="1500" w:type="dxa"/>
          </w:tcPr>
          <w:p w14:paraId="2A0FF5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7C4D87DA" w14:textId="77777777">
        <w:trPr>
          <w:cantSplit/>
        </w:trPr>
        <w:tc>
          <w:tcPr>
            <w:tcW w:w="1500" w:type="dxa"/>
          </w:tcPr>
          <w:p w14:paraId="6D5F6B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0099B1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2330D5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</w:tc>
        <w:tc>
          <w:tcPr>
            <w:tcW w:w="1000" w:type="dxa"/>
          </w:tcPr>
          <w:p w14:paraId="23705B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28853F4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Validar propiedad, saldo y límites en servidor; agregar firma de solicitud e idempotencia</w:t>
            </w:r>
          </w:p>
        </w:tc>
        <w:tc>
          <w:tcPr>
            <w:tcW w:w="1500" w:type="dxa"/>
          </w:tcPr>
          <w:p w14:paraId="1AD870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61AFF9EC" w14:textId="77777777">
        <w:trPr>
          <w:cantSplit/>
        </w:trPr>
        <w:tc>
          <w:tcPr>
            <w:tcW w:w="1500" w:type="dxa"/>
          </w:tcPr>
          <w:p w14:paraId="4561A2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4D988B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7031075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</w:tc>
        <w:tc>
          <w:tcPr>
            <w:tcW w:w="1000" w:type="dxa"/>
          </w:tcPr>
          <w:p w14:paraId="23F441E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6C90B0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Imponer doble aprobación, validación de rangos y auditoría de los parámetros críticos</w:t>
            </w:r>
          </w:p>
        </w:tc>
        <w:tc>
          <w:tcPr>
            <w:tcW w:w="1500" w:type="dxa"/>
          </w:tcPr>
          <w:p w14:paraId="05C495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02E4C17B" w14:textId="77777777">
        <w:trPr>
          <w:cantSplit/>
        </w:trPr>
        <w:tc>
          <w:tcPr>
            <w:tcW w:w="1500" w:type="dxa"/>
          </w:tcPr>
          <w:p w14:paraId="3713C3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Mediano plazo</w:t>
            </w:r>
          </w:p>
          <w:p w14:paraId="0C374D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40B3E82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1000" w:type="dxa"/>
          </w:tcPr>
          <w:p w14:paraId="50DE5F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7E1240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evidencia de consentimiento (OTP, IP, dispositivo, hora) por cada transacción</w:t>
            </w:r>
          </w:p>
        </w:tc>
        <w:tc>
          <w:tcPr>
            <w:tcW w:w="1500" w:type="dxa"/>
          </w:tcPr>
          <w:p w14:paraId="1D41DDC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19E98738" w14:textId="77777777">
        <w:trPr>
          <w:cantSplit/>
        </w:trPr>
        <w:tc>
          <w:tcPr>
            <w:tcW w:w="1500" w:type="dxa"/>
          </w:tcPr>
          <w:p w14:paraId="1CDF3E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3B5BBB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49354B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1000" w:type="dxa"/>
          </w:tcPr>
          <w:p w14:paraId="1CA644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31A4BC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usuario, hora y valor anterior y nuevo en cada cambio administrativo</w:t>
            </w:r>
          </w:p>
        </w:tc>
        <w:tc>
          <w:tcPr>
            <w:tcW w:w="1500" w:type="dxa"/>
          </w:tcPr>
          <w:p w14:paraId="17CFCC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3C5A2D0F" w14:textId="77777777">
        <w:trPr>
          <w:cantSplit/>
        </w:trPr>
        <w:tc>
          <w:tcPr>
            <w:tcW w:w="1500" w:type="dxa"/>
          </w:tcPr>
          <w:p w14:paraId="2EF51D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0C6E0D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750EE7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T18</w:t>
            </w:r>
          </w:p>
        </w:tc>
        <w:tc>
          <w:tcPr>
            <w:tcW w:w="1000" w:type="dxa"/>
          </w:tcPr>
          <w:p w14:paraId="57E57A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199921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Poner un API Gateway con cuotas y protección anti-DDoS delante de los servicios</w:t>
            </w:r>
          </w:p>
        </w:tc>
        <w:tc>
          <w:tcPr>
            <w:tcW w:w="1500" w:type="dxa"/>
          </w:tcPr>
          <w:p w14:paraId="22A8AF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10D0A8CC" w14:textId="77777777">
        <w:trPr>
          <w:cantSplit/>
        </w:trPr>
        <w:tc>
          <w:tcPr>
            <w:tcW w:w="1500" w:type="dxa"/>
          </w:tcPr>
          <w:p w14:paraId="6A7F7D9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38025F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4E0460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1000" w:type="dxa"/>
          </w:tcPr>
          <w:p w14:paraId="18F595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207B6B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Definir cuotas, cola persistente y monitoreo de profundidad</w:t>
            </w:r>
          </w:p>
        </w:tc>
        <w:tc>
          <w:tcPr>
            <w:tcW w:w="1500" w:type="dxa"/>
          </w:tcPr>
          <w:p w14:paraId="39E492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19B995EA" w14:textId="77777777">
        <w:trPr>
          <w:cantSplit/>
        </w:trPr>
        <w:tc>
          <w:tcPr>
            <w:tcW w:w="1500" w:type="dxa"/>
          </w:tcPr>
          <w:p w14:paraId="2FE862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0125A0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1B88AE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1000" w:type="dxa"/>
          </w:tcPr>
          <w:p w14:paraId="659EE91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1C61F87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Configurar atributos de cookie, rotación de sesión y expiración por inactividad</w:t>
            </w:r>
          </w:p>
        </w:tc>
        <w:tc>
          <w:tcPr>
            <w:tcW w:w="1500" w:type="dxa"/>
          </w:tcPr>
          <w:p w14:paraId="758566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6D0625B3" w14:textId="77777777">
        <w:trPr>
          <w:cantSplit/>
        </w:trPr>
        <w:tc>
          <w:tcPr>
            <w:tcW w:w="1500" w:type="dxa"/>
          </w:tcPr>
          <w:p w14:paraId="7FB8F7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75E939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0F4E11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1000" w:type="dxa"/>
          </w:tcPr>
          <w:p w14:paraId="4107E6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Bajo</w:t>
            </w:r>
          </w:p>
        </w:tc>
        <w:tc>
          <w:tcPr>
            <w:tcW w:w="4806" w:type="dxa"/>
          </w:tcPr>
          <w:p w14:paraId="672449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Centralizar logs, protegerlos contra modificación y enmascarar datos sensibles</w:t>
            </w:r>
          </w:p>
        </w:tc>
        <w:tc>
          <w:tcPr>
            <w:tcW w:w="1500" w:type="dxa"/>
          </w:tcPr>
          <w:p w14:paraId="76170A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490CB2DF" w14:textId="77777777">
        <w:trPr>
          <w:cantSplit/>
        </w:trPr>
        <w:tc>
          <w:tcPr>
            <w:tcW w:w="1500" w:type="dxa"/>
          </w:tcPr>
          <w:p w14:paraId="1FE12B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Largo plazo</w:t>
            </w:r>
          </w:p>
          <w:p w14:paraId="1C6007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(6-12 meses)</w:t>
            </w:r>
          </w:p>
        </w:tc>
        <w:tc>
          <w:tcPr>
            <w:tcW w:w="600" w:type="dxa"/>
          </w:tcPr>
          <w:p w14:paraId="2AFC89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1000" w:type="dxa"/>
          </w:tcPr>
          <w:p w14:paraId="353390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164C7C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Exigir mTLS y firma en la integración con proveedores</w:t>
            </w:r>
          </w:p>
        </w:tc>
        <w:tc>
          <w:tcPr>
            <w:tcW w:w="1500" w:type="dxa"/>
          </w:tcPr>
          <w:p w14:paraId="0F519D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68599138" w14:textId="77777777">
        <w:trPr>
          <w:cantSplit/>
        </w:trPr>
        <w:tc>
          <w:tcPr>
            <w:tcW w:w="1500" w:type="dxa"/>
          </w:tcPr>
          <w:p w14:paraId="0736E05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Largo plazo</w:t>
            </w:r>
          </w:p>
          <w:p w14:paraId="5F484B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(6-12 meses)</w:t>
            </w:r>
          </w:p>
        </w:tc>
        <w:tc>
          <w:tcPr>
            <w:tcW w:w="600" w:type="dxa"/>
          </w:tcPr>
          <w:p w14:paraId="7396C9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1000" w:type="dxa"/>
          </w:tcPr>
          <w:p w14:paraId="7AB36E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50A3CF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Endurecer el parser XML y validar los mensajes contra el esquema</w:t>
            </w:r>
          </w:p>
        </w:tc>
        <w:tc>
          <w:tcPr>
            <w:tcW w:w="1500" w:type="dxa"/>
          </w:tcPr>
          <w:p w14:paraId="375238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00D0F067" w14:textId="77777777">
        <w:trPr>
          <w:cantSplit/>
        </w:trPr>
        <w:tc>
          <w:tcPr>
            <w:tcW w:w="1500" w:type="dxa"/>
            <w:tcBorders>
              <w:bottom w:val="single" w:sz="6" w:space="0" w:color="000000"/>
            </w:tcBorders>
          </w:tcPr>
          <w:p w14:paraId="4F250A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Largo plazo</w:t>
            </w:r>
          </w:p>
          <w:p w14:paraId="5B10C5B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(6-12 meses)</w:t>
            </w:r>
          </w:p>
        </w:tc>
        <w:tc>
          <w:tcPr>
            <w:tcW w:w="600" w:type="dxa"/>
            <w:tcBorders>
              <w:bottom w:val="single" w:sz="6" w:space="0" w:color="000000"/>
            </w:tcBorders>
          </w:tcPr>
          <w:p w14:paraId="2D7CCE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 w14:paraId="27FA80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 w14:paraId="5017E1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Integrar SCA y SBOM al pipeline con política de fallo por severidad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 w14:paraId="3F2B72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</w:tbl>
    <w:p w14:paraId="6AA3531E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16B88C7B" w14:textId="77777777" w:rsidR="0055664B" w:rsidRDefault="00000000">
      <w:pPr>
        <w:keepNext/>
        <w:pageBreakBefore/>
        <w:spacing w:before="120"/>
        <w:jc w:val="center"/>
        <w:outlineLvl w:val="0"/>
        <w:rPr>
          <w:lang w:val="es-GT"/>
        </w:rPr>
      </w:pPr>
      <w:bookmarkStart w:id="25" w:name="_Toc900125"/>
      <w:r>
        <w:rPr>
          <w:b/>
          <w:lang w:val="es-GT"/>
        </w:rPr>
        <w:lastRenderedPageBreak/>
        <w:t>Conclusión</w:t>
      </w:r>
      <w:bookmarkEnd w:id="25"/>
    </w:p>
    <w:p w14:paraId="40F1FCD0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La modelización de amenazas de ParaBank revela que las vulnerabilidades más severas se encuentran en decisiones de diseño y configuración, no en fallos exóticos: una consulta SQL desarrollada con concatenación, credenciales transmitidas en la URL, funciones administrativas sin autenticación, una base de datos con la cuenta de administración sin contraseña y un gestor de mensajes expuesto. Las cinco amenazas críticas se alinean con lo anticipado en una prueba de penetración sobre una aplicación ya en producción; sin embargo, en este caso, se identificaron desde el diseño.</w:t>
      </w:r>
    </w:p>
    <w:p w14:paraId="1E7C7EE6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Esta es la ventaja inherente a la implementación temprana de la seguridad. Corregir estas amenazas antes de su implementación demanda modificaciones limitadas, tales como la parametrización de consultas, la separación de la administración y la activación de autenticación y TLS. Hacerlo después implica reingeniería, adquisiciones de emergencia y riesgo para los clientes y las transacciones. La etapa subsecuente consiste en corroborar las hipótesis mediante pruebas autorizadas y colaborar con los equipos de Arquitectura y Desarrollo, manteniendo el modelo en Threat Dragon como un artefacto vivo en el ciclo de desarrollo seguro.</w:t>
      </w:r>
    </w:p>
    <w:p w14:paraId="291CEE09" w14:textId="77777777" w:rsidR="0055664B" w:rsidRDefault="00000000">
      <w:pPr>
        <w:keepNext/>
        <w:pageBreakBefore/>
        <w:spacing w:before="120"/>
        <w:jc w:val="center"/>
        <w:outlineLvl w:val="0"/>
        <w:rPr>
          <w:lang w:val="es-GT"/>
        </w:rPr>
      </w:pPr>
      <w:bookmarkStart w:id="26" w:name="_Toc900126"/>
      <w:r>
        <w:rPr>
          <w:b/>
          <w:lang w:val="es-GT"/>
        </w:rPr>
        <w:lastRenderedPageBreak/>
        <w:t>Referencias</w:t>
      </w:r>
      <w:bookmarkEnd w:id="26"/>
    </w:p>
    <w:p w14:paraId="55E496C0" w14:textId="77777777" w:rsidR="0055664B" w:rsidRDefault="00000000"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López Sajquin, M. R. (2026). </w:t>
      </w:r>
      <w:r>
        <w:rPr>
          <w:i/>
          <w:lang w:val="es-GT"/>
        </w:rPr>
        <w:t>Modelado de amenazas en el diseño: DFD, STRIDE, PASTA y priorización</w:t>
      </w:r>
      <w:r>
        <w:rPr>
          <w:lang w:val="es-GT"/>
        </w:rPr>
        <w:t xml:space="preserve"> [Diapositivas de la semana 2]. Seguridad en Aplicaciones, Universidad Mariano Gálvez de Guatemala.</w:t>
      </w:r>
    </w:p>
    <w:p w14:paraId="3D782887" w14:textId="77777777" w:rsidR="0055664B" w:rsidRPr="00C440A6" w:rsidRDefault="00000000">
      <w:pPr>
        <w:ind w:left="720" w:hanging="720"/>
        <w:jc w:val="left"/>
      </w:pPr>
      <w:r>
        <w:rPr>
          <w:lang w:val="es-GT"/>
        </w:rPr>
        <w:t xml:space="preserve">National Institute of Standards and Technology. </w:t>
      </w:r>
      <w:r w:rsidRPr="00C440A6">
        <w:t xml:space="preserve">(2022). </w:t>
      </w:r>
      <w:r w:rsidRPr="00C440A6">
        <w:rPr>
          <w:i/>
        </w:rPr>
        <w:t>Secure software development framework (SSDF) version 1.1: Recommendations for mitigating the risk of software vulnerabilities</w:t>
      </w:r>
      <w:r w:rsidRPr="00C440A6">
        <w:t xml:space="preserve"> (NIST SP 800-218). https://doi.org/10.6028/NIST.SP.800-218</w:t>
      </w:r>
    </w:p>
    <w:p w14:paraId="45B7A8A5" w14:textId="77777777" w:rsidR="0055664B" w:rsidRPr="00C440A6" w:rsidRDefault="00000000">
      <w:pPr>
        <w:ind w:left="720" w:hanging="720"/>
        <w:jc w:val="left"/>
      </w:pPr>
      <w:r w:rsidRPr="00C440A6">
        <w:t xml:space="preserve">Open Worldwide Application Security Project. (s. f.). </w:t>
      </w:r>
      <w:r w:rsidRPr="00C440A6">
        <w:rPr>
          <w:i/>
        </w:rPr>
        <w:t>OWASP Threat Dragon</w:t>
      </w:r>
      <w:r w:rsidRPr="00C440A6">
        <w:t>. https://owasp.org/www-project-threat-dragon/</w:t>
      </w:r>
    </w:p>
    <w:p w14:paraId="31CDA778" w14:textId="77777777" w:rsidR="0055664B" w:rsidRPr="00C440A6" w:rsidRDefault="00000000">
      <w:pPr>
        <w:ind w:left="720" w:hanging="720"/>
        <w:jc w:val="left"/>
      </w:pPr>
      <w:r w:rsidRPr="00C440A6">
        <w:t xml:space="preserve">Parasoft. (2026). </w:t>
      </w:r>
      <w:r w:rsidRPr="00C440A6">
        <w:rPr>
          <w:i/>
        </w:rPr>
        <w:t>ParaBank</w:t>
      </w:r>
      <w:r w:rsidRPr="00C440A6">
        <w:t xml:space="preserve"> [Software]. GitHub. https://github.com/parasoft/parabank</w:t>
      </w:r>
    </w:p>
    <w:p w14:paraId="399E8527" w14:textId="77777777" w:rsidR="0055664B" w:rsidRDefault="00000000">
      <w:pPr>
        <w:ind w:left="720" w:hanging="720"/>
        <w:jc w:val="left"/>
        <w:rPr>
          <w:lang w:val="es-GT"/>
        </w:rPr>
      </w:pPr>
      <w:r w:rsidRPr="00C440A6">
        <w:t xml:space="preserve">Shostack, A. (2014). </w:t>
      </w:r>
      <w:r w:rsidRPr="00C440A6">
        <w:rPr>
          <w:i/>
        </w:rPr>
        <w:t>Threat modeling: Designing for security</w:t>
      </w:r>
      <w:r w:rsidRPr="00C440A6">
        <w:t xml:space="preserve">. </w:t>
      </w:r>
      <w:r>
        <w:rPr>
          <w:lang w:val="es-GT"/>
        </w:rPr>
        <w:t>Wiley.</w:t>
      </w:r>
    </w:p>
    <w:sectPr w:rsidR="0055664B" w:rsidSect="00C440A6">
      <w:headerReference w:type="default" r:id="rId17"/>
      <w:headerReference w:type="first" r:id="rId18"/>
      <w:pgSz w:w="12240" w:h="15840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B45EB" w14:textId="77777777" w:rsidR="009F2F4E" w:rsidRDefault="009F2F4E" w:rsidP="003C64C8">
      <w:pPr>
        <w:spacing w:after="0"/>
      </w:pPr>
      <w:r>
        <w:separator/>
      </w:r>
    </w:p>
  </w:endnote>
  <w:endnote w:type="continuationSeparator" w:id="0">
    <w:p w14:paraId="0EC2274D" w14:textId="77777777" w:rsidR="009F2F4E" w:rsidRDefault="009F2F4E" w:rsidP="003C6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0923" w14:textId="77777777" w:rsidR="009F2F4E" w:rsidRDefault="009F2F4E" w:rsidP="003C64C8">
      <w:pPr>
        <w:spacing w:after="0"/>
      </w:pPr>
      <w:r>
        <w:separator/>
      </w:r>
    </w:p>
  </w:footnote>
  <w:footnote w:type="continuationSeparator" w:id="0">
    <w:p w14:paraId="060A1F79" w14:textId="77777777" w:rsidR="009F2F4E" w:rsidRDefault="009F2F4E" w:rsidP="003C6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FBF6B" w14:textId="2BC5CAD7" w:rsidR="00900852" w:rsidRDefault="00900852" w:rsidP="00C440A6">
    <w:pPr>
      <w:pStyle w:val="Encabezado"/>
      <w:ind w:right="120"/>
      <w:jc w:val="right"/>
    </w:pPr>
  </w:p>
  <w:p w14:paraId="418F124F" w14:textId="77777777" w:rsidR="00900852" w:rsidRDefault="0090085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4374112"/>
      <w:docPartObj>
        <w:docPartGallery w:val="Page Numbers (Top of Page)"/>
        <w:docPartUnique/>
      </w:docPartObj>
    </w:sdtPr>
    <w:sdtContent>
      <w:p w14:paraId="7EC9CA36" w14:textId="79BD88EA" w:rsidR="00C440A6" w:rsidRDefault="00C440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7AC0555" w14:textId="77777777" w:rsidR="00C440A6" w:rsidRDefault="00C440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7156972"/>
      <w:docPartObj>
        <w:docPartGallery w:val="Page Numbers (Top of Page)"/>
        <w:docPartUnique/>
      </w:docPartObj>
    </w:sdtPr>
    <w:sdtContent>
      <w:p w14:paraId="16BD28F8" w14:textId="29059A19" w:rsidR="00C440A6" w:rsidRDefault="00C440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197AB4B" w14:textId="77777777" w:rsidR="00C440A6" w:rsidRDefault="00C440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047177">
    <w:abstractNumId w:val="8"/>
  </w:num>
  <w:num w:numId="2" w16cid:durableId="219295368">
    <w:abstractNumId w:val="6"/>
  </w:num>
  <w:num w:numId="3" w16cid:durableId="588347090">
    <w:abstractNumId w:val="5"/>
  </w:num>
  <w:num w:numId="4" w16cid:durableId="2143493970">
    <w:abstractNumId w:val="4"/>
  </w:num>
  <w:num w:numId="5" w16cid:durableId="1386685182">
    <w:abstractNumId w:val="7"/>
  </w:num>
  <w:num w:numId="6" w16cid:durableId="207036656">
    <w:abstractNumId w:val="3"/>
  </w:num>
  <w:num w:numId="7" w16cid:durableId="78841685">
    <w:abstractNumId w:val="2"/>
  </w:num>
  <w:num w:numId="8" w16cid:durableId="1991858548">
    <w:abstractNumId w:val="1"/>
  </w:num>
  <w:num w:numId="9" w16cid:durableId="26123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64C8"/>
    <w:rsid w:val="00454FF4"/>
    <w:rsid w:val="00526C6E"/>
    <w:rsid w:val="0055664B"/>
    <w:rsid w:val="005F209D"/>
    <w:rsid w:val="006A2202"/>
    <w:rsid w:val="008600F3"/>
    <w:rsid w:val="00900852"/>
    <w:rsid w:val="009F2F4E"/>
    <w:rsid w:val="00AA1D8D"/>
    <w:rsid w:val="00B15BFE"/>
    <w:rsid w:val="00B3153B"/>
    <w:rsid w:val="00B47730"/>
    <w:rsid w:val="00C440A6"/>
    <w:rsid w:val="00CB0664"/>
    <w:rsid w:val="00D066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175328"/>
  <w14:defaultImageDpi w14:val="300"/>
  <w15:docId w15:val="{42FAA0F6-620E-4E53-9566-F4A355ECE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64C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C6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92C97801E4904AB2C2C815ED137048" ma:contentTypeVersion="6" ma:contentTypeDescription="Crear nuevo documento." ma:contentTypeScope="" ma:versionID="3e90d88dcbb4ba24562640b438da1298">
  <xsd:schema xmlns:xsd="http://www.w3.org/2001/XMLSchema" xmlns:xs="http://www.w3.org/2001/XMLSchema" xmlns:p="http://schemas.microsoft.com/office/2006/metadata/properties" xmlns:ns3="d53121ff-3373-4de2-81b2-65d996ac094e" targetNamespace="http://schemas.microsoft.com/office/2006/metadata/properties" ma:root="true" ma:fieldsID="eee987184b3cac4ec853b909501723e0" ns3:_="">
    <xsd:import namespace="d53121ff-3373-4de2-81b2-65d996ac09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3121ff-3373-4de2-81b2-65d996ac09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53121ff-3373-4de2-81b2-65d996ac094e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F7AF6A-19A3-4121-909D-6FBDC04D33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3121ff-3373-4de2-81b2-65d996ac09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9A0420-00DF-4A0A-A1A9-FA39EBC9035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F4A46E-2BD7-4A74-9251-B6A20F3C6CD9}">
  <ds:schemaRefs>
    <ds:schemaRef ds:uri="http://schemas.microsoft.com/office/2006/metadata/properties"/>
    <ds:schemaRef ds:uri="http://schemas.microsoft.com/office/infopath/2007/PartnerControls"/>
    <ds:schemaRef ds:uri="d53121ff-3373-4de2-81b2-65d996ac094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7826</Words>
  <Characters>43043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2 - Modelo de amenazas de ParaBank con OWASP Threat Dragon</dc:title>
  <dc:subject/>
  <dc:creator>Gerbert David García Loaiza</dc:creator>
  <cp:keywords/>
  <dc:description/>
  <cp:lastModifiedBy>2111608 - GERBERT DAVID GARCIA LOAIZA</cp:lastModifiedBy>
  <cp:revision>3</cp:revision>
  <cp:lastPrinted>2026-07-07T04:41:00Z</cp:lastPrinted>
  <dcterms:created xsi:type="dcterms:W3CDTF">2026-10-05T15:23:00Z</dcterms:created>
  <dcterms:modified xsi:type="dcterms:W3CDTF">2026-10-05T16:20:00Z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0x010100C692C97801E4904AB2C2C815ED137048</vt:lpwstr>
  </property>
</Properties>
</file>