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Def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8A208" w14:textId="77777777" w:rsidR="00C13482" w:rsidRPr="009A1B6B" w:rsidRDefault="00C13482" w:rsidP="00C13482">
      <w:pPr>
        <w:widowControl w:val="0"/>
        <w:autoSpaceDE w:val="0"/>
        <w:autoSpaceDN w:val="0"/>
        <w:spacing w:after="0" w:line="240" w:lineRule="auto"/>
        <w:ind w:left="402"/>
        <w:jc w:val="both"/>
        <w:rPr>
          <w:rFonts w:ascii="Times New Roman" w:eastAsia="Times New Roman" w:hAnsi="Times New Roman" w:cs="Times New Roman"/>
          <w:b/>
          <w:sz w:val="48"/>
          <w:szCs w:val="48"/>
          <w:lang w:eastAsia="es-PE" w:bidi="es-PE"/>
        </w:rPr>
      </w:pPr>
      <w:r>
        <w:rPr>
          <w:rFonts w:ascii="Times New Roman" w:eastAsia="Times New Roman" w:hAnsi="Times New Roman" w:cs="Times New Roman"/>
          <w:b/>
          <w:noProof/>
          <w:sz w:val="48"/>
          <w:szCs w:val="48"/>
          <w:lang w:eastAsia="es-PE" w:bidi="es-PE"/>
        </w:rPr>
        <w:drawing>
          <wp:anchor distT="0" distB="0" distL="114300" distR="114300" simplePos="0" relativeHeight="251659264" behindDoc="0" locked="0" layoutInCell="1" allowOverlap="1" wp14:anchorId="1228446A" wp14:editId="4ABB6FC9">
            <wp:simplePos x="0" y="0"/>
            <wp:positionH relativeFrom="column">
              <wp:posOffset>488315</wp:posOffset>
            </wp:positionH>
            <wp:positionV relativeFrom="paragraph">
              <wp:posOffset>90805</wp:posOffset>
            </wp:positionV>
            <wp:extent cx="1237615" cy="1200785"/>
            <wp:effectExtent l="0" t="0" r="635" b="0"/>
            <wp:wrapNone/>
            <wp:docPr id="2046160855" name="Picture 2" descr="A logo with a person in the back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60855" name="Picture 2" descr="A logo with a person in the back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7615" cy="120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bookmark7"/>
      <w:bookmarkEnd w:id="0"/>
    </w:p>
    <w:p w14:paraId="552CE5C5" w14:textId="79C240E4" w:rsidR="00C13482" w:rsidRPr="009A1B6B" w:rsidRDefault="00C13482" w:rsidP="00C13482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b/>
          <w:sz w:val="48"/>
          <w:szCs w:val="48"/>
          <w:lang w:eastAsia="es-PE" w:bidi="es-PE"/>
        </w:rPr>
      </w:pPr>
      <w:r w:rsidRPr="009A1B6B">
        <w:rPr>
          <w:rFonts w:ascii="Times New Roman" w:eastAsia="Times New Roman" w:hAnsi="Times New Roman" w:cs="Times New Roman"/>
          <w:b/>
          <w:sz w:val="48"/>
          <w:szCs w:val="48"/>
          <w:lang w:eastAsia="es-PE" w:bidi="es-PE"/>
        </w:rPr>
        <w:t>UNIVERSIDAD MARIANO</w:t>
      </w:r>
      <w:r>
        <w:rPr>
          <w:rFonts w:ascii="Times New Roman" w:eastAsia="Times New Roman" w:hAnsi="Times New Roman" w:cs="Times New Roman"/>
          <w:b/>
          <w:sz w:val="48"/>
          <w:szCs w:val="48"/>
          <w:lang w:eastAsia="es-PE" w:bidi="es-PE"/>
        </w:rPr>
        <w:t xml:space="preserve"> </w:t>
      </w:r>
      <w:r>
        <w:rPr>
          <w:rFonts w:ascii="Times New Roman" w:eastAsia="Times New Roman" w:hAnsi="Times New Roman" w:cs="Times New Roman"/>
          <w:b/>
          <w:sz w:val="48"/>
          <w:szCs w:val="48"/>
          <w:lang w:eastAsia="es-PE" w:bidi="es-PE"/>
        </w:rPr>
        <w:tab/>
      </w:r>
    </w:p>
    <w:p w14:paraId="3677A0BE" w14:textId="2C406D6E" w:rsidR="00C13482" w:rsidRPr="009A1B6B" w:rsidRDefault="00C13482" w:rsidP="00C13482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b/>
          <w:sz w:val="48"/>
          <w:szCs w:val="48"/>
          <w:lang w:eastAsia="es-PE" w:bidi="es-PE"/>
        </w:rPr>
      </w:pPr>
      <w:r w:rsidRPr="009A1B6B">
        <w:rPr>
          <w:rFonts w:ascii="Times New Roman" w:eastAsia="Times New Roman" w:hAnsi="Times New Roman" w:cs="Times New Roman"/>
          <w:b/>
          <w:sz w:val="48"/>
          <w:szCs w:val="48"/>
          <w:lang w:eastAsia="es-PE" w:bidi="es-PE"/>
        </w:rPr>
        <w:t>GÁLVEZ DE GUATEMALA</w:t>
      </w:r>
      <w:r>
        <w:rPr>
          <w:rFonts w:ascii="Times New Roman" w:eastAsia="Times New Roman" w:hAnsi="Times New Roman" w:cs="Times New Roman"/>
          <w:b/>
          <w:sz w:val="48"/>
          <w:szCs w:val="48"/>
          <w:lang w:eastAsia="es-PE" w:bidi="es-PE"/>
        </w:rPr>
        <w:tab/>
      </w:r>
    </w:p>
    <w:p w14:paraId="265E5B43" w14:textId="77777777" w:rsidR="00C13482" w:rsidRPr="00A0471F" w:rsidRDefault="00C13482" w:rsidP="00C13482">
      <w:pPr>
        <w:widowControl w:val="0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lang w:eastAsia="es-PE" w:bidi="es-PE"/>
        </w:rPr>
      </w:pPr>
    </w:p>
    <w:p w14:paraId="040899D7" w14:textId="77777777" w:rsidR="00C13482" w:rsidRPr="00A0471F" w:rsidRDefault="00C13482" w:rsidP="00C13482">
      <w:pPr>
        <w:spacing w:after="0"/>
        <w:ind w:left="10" w:right="39" w:hanging="10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  <w:lang w:eastAsia="es-PE"/>
        </w:rPr>
      </w:pPr>
    </w:p>
    <w:p w14:paraId="5902720B" w14:textId="77777777" w:rsidR="00C13482" w:rsidRDefault="00C13482" w:rsidP="00C13482">
      <w:pPr>
        <w:spacing w:after="0"/>
        <w:ind w:left="10" w:right="39" w:hanging="10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  <w:lang w:eastAsia="es-PE"/>
        </w:rPr>
      </w:pPr>
      <w:r w:rsidRPr="00A0471F">
        <w:rPr>
          <w:rFonts w:ascii="Times New Roman" w:eastAsia="Times New Roman" w:hAnsi="Times New Roman" w:cs="Times New Roman"/>
          <w:b/>
          <w:color w:val="000000"/>
          <w:sz w:val="36"/>
          <w:szCs w:val="36"/>
          <w:lang w:eastAsia="es-PE"/>
        </w:rPr>
        <w:t>FACULTAD DE</w:t>
      </w:r>
      <w:r>
        <w:rPr>
          <w:rFonts w:ascii="Times New Roman" w:eastAsia="Times New Roman" w:hAnsi="Times New Roman" w:cs="Times New Roman"/>
          <w:b/>
          <w:color w:val="000000"/>
          <w:sz w:val="36"/>
          <w:szCs w:val="36"/>
          <w:lang w:eastAsia="es-PE"/>
        </w:rPr>
        <w:t xml:space="preserve"> INGENIERÍA EN SISTEMAS DE INFORMACIÓN</w:t>
      </w:r>
    </w:p>
    <w:p w14:paraId="58884413" w14:textId="77777777" w:rsidR="00C13482" w:rsidRPr="00A0471F" w:rsidRDefault="00C13482" w:rsidP="00C13482">
      <w:pPr>
        <w:spacing w:after="0"/>
        <w:rPr>
          <w:rFonts w:ascii="Times New Roman" w:eastAsia="Times New Roman" w:hAnsi="Times New Roman" w:cs="Times New Roman"/>
          <w:color w:val="000000"/>
          <w:sz w:val="24"/>
          <w:lang w:eastAsia="es-PE"/>
        </w:rPr>
      </w:pPr>
      <w:r w:rsidRPr="00A0471F">
        <w:rPr>
          <w:rFonts w:ascii="Times New Roman" w:eastAsia="Times New Roman" w:hAnsi="Times New Roman" w:cs="Times New Roman"/>
          <w:color w:val="000000"/>
          <w:sz w:val="24"/>
          <w:lang w:eastAsia="es-PE"/>
        </w:rPr>
        <w:t xml:space="preserve"> </w:t>
      </w:r>
    </w:p>
    <w:p w14:paraId="7EA85F2C" w14:textId="77777777" w:rsidR="00C13482" w:rsidRPr="00A0471F" w:rsidRDefault="00C13482" w:rsidP="00C13482">
      <w:pPr>
        <w:spacing w:after="5" w:line="248" w:lineRule="auto"/>
        <w:ind w:right="30" w:hanging="10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es-PE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es-PE"/>
        </w:rPr>
        <w:t>PROGRAMA DE POSGRADOS</w:t>
      </w:r>
    </w:p>
    <w:p w14:paraId="77E1B72B" w14:textId="77777777" w:rsidR="00C13482" w:rsidRPr="00A0471F" w:rsidRDefault="00C13482" w:rsidP="00C13482">
      <w:pPr>
        <w:spacing w:after="0"/>
        <w:rPr>
          <w:rFonts w:ascii="Times New Roman" w:eastAsia="Times New Roman" w:hAnsi="Times New Roman" w:cs="Times New Roman"/>
          <w:color w:val="000000"/>
          <w:sz w:val="24"/>
          <w:lang w:eastAsia="es-PE"/>
        </w:rPr>
      </w:pPr>
      <w:r w:rsidRPr="00A0471F">
        <w:rPr>
          <w:rFonts w:ascii="Times New Roman" w:eastAsia="Times New Roman" w:hAnsi="Times New Roman" w:cs="Times New Roman"/>
          <w:color w:val="000000"/>
          <w:sz w:val="24"/>
          <w:lang w:eastAsia="es-PE"/>
        </w:rPr>
        <w:t xml:space="preserve"> </w:t>
      </w:r>
    </w:p>
    <w:p w14:paraId="20B81370" w14:textId="77777777" w:rsidR="00C13482" w:rsidRPr="00A0471F" w:rsidRDefault="00C13482" w:rsidP="00C13482">
      <w:pPr>
        <w:spacing w:after="5" w:line="248" w:lineRule="auto"/>
        <w:ind w:right="30" w:hanging="10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es-PE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es-PE"/>
        </w:rPr>
        <w:t>TRABAJO FINAL /</w:t>
      </w:r>
      <w:r w:rsidRPr="00A0471F"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es-PE"/>
        </w:rPr>
        <w:t>PROYECTO DE INVESTIGACIÓN</w:t>
      </w:r>
    </w:p>
    <w:p w14:paraId="1DE67892" w14:textId="77777777" w:rsidR="00C13482" w:rsidRPr="00A0471F" w:rsidRDefault="00C13482" w:rsidP="00C13482">
      <w:pPr>
        <w:spacing w:after="0"/>
        <w:rPr>
          <w:rFonts w:ascii="Times New Roman" w:eastAsia="Times New Roman" w:hAnsi="Times New Roman" w:cs="Times New Roman"/>
          <w:color w:val="000000"/>
          <w:sz w:val="24"/>
          <w:lang w:eastAsia="es-PE"/>
        </w:rPr>
      </w:pPr>
      <w:r w:rsidRPr="00A0471F">
        <w:rPr>
          <w:rFonts w:ascii="Times New Roman" w:eastAsia="Times New Roman" w:hAnsi="Times New Roman" w:cs="Times New Roman"/>
          <w:color w:val="000000"/>
          <w:sz w:val="24"/>
          <w:lang w:eastAsia="es-PE"/>
        </w:rPr>
        <w:t xml:space="preserve"> </w:t>
      </w:r>
    </w:p>
    <w:p w14:paraId="451FC87E" w14:textId="77777777" w:rsidR="00C13482" w:rsidRPr="00A0471F" w:rsidRDefault="00C13482" w:rsidP="00C13482">
      <w:pPr>
        <w:spacing w:after="0"/>
        <w:ind w:left="10" w:right="41" w:hanging="1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es-PE"/>
        </w:rPr>
      </w:pPr>
      <w:r w:rsidRPr="00A0471F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es-PE"/>
        </w:rPr>
        <w:t xml:space="preserve">EFECTO DE LOS CONTROLES DE VERIFICACIÓN AL CLIENTE SOBRE LA DIFERENCIA ENTRE EL MONTO AUTORIZADO Y EL MONTO RECIBIDO EN LOS DESEMBOLSOS DE CRÉDITOS POR BILLETERA DIGITAL DE UNA INSTITUCIÓN MICROFINANCIERA DE GUATEMALA, 2027</w:t>
      </w:r>
    </w:p>
    <w:p w14:paraId="6B935E51" w14:textId="77777777" w:rsidR="00C13482" w:rsidRPr="00A0471F" w:rsidRDefault="00C13482" w:rsidP="00C13482">
      <w:pPr>
        <w:spacing w:before="240" w:after="0"/>
        <w:ind w:left="10" w:right="38" w:hanging="10"/>
        <w:jc w:val="center"/>
        <w:rPr>
          <w:rFonts w:ascii="Times New Roman" w:eastAsia="Times New Roman" w:hAnsi="Times New Roman" w:cs="Times New Roman"/>
          <w:b/>
          <w:color w:val="000000"/>
          <w:sz w:val="34"/>
          <w:szCs w:val="34"/>
          <w:lang w:eastAsia="es-PE"/>
        </w:rPr>
      </w:pPr>
      <w:r w:rsidRPr="00A0471F">
        <w:rPr>
          <w:rFonts w:ascii="Times New Roman" w:eastAsia="Times New Roman" w:hAnsi="Times New Roman" w:cs="Times New Roman"/>
          <w:b/>
          <w:color w:val="000000"/>
          <w:sz w:val="34"/>
          <w:szCs w:val="34"/>
          <w:lang w:eastAsia="es-PE"/>
        </w:rPr>
        <w:t xml:space="preserve">Autor (es): </w:t>
      </w:r>
    </w:p>
    <w:p w14:paraId="0F96316E" w14:textId="77777777" w:rsidR="00C13482" w:rsidRPr="00BF2264" w:rsidRDefault="00C13482" w:rsidP="00C13482">
      <w:pPr>
        <w:spacing w:after="0"/>
        <w:ind w:left="10" w:right="38" w:hanging="10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es-PE"/>
        </w:rPr>
      </w:pPr>
      <w:r w:rsidRPr="00BF226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es-PE"/>
        </w:rPr>
        <w:t xml:space="preserve">Suruy Quiróa, Anderson Lionel - asuruyq1@miumg.edu.gt</w:t>
      </w:r>
    </w:p>
    <w:p w:rsidR="00C13482" w:rsidRPr="00BF2264" w:rsidRDefault="00C13482" w:rsidP="00C13482">
      <w:pPr>
        <w:spacing w:after="0"/>
        <w:ind w:left="10" w:right="38" w:hanging="10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es-PE"/>
        </w:rPr>
      </w:pPr>
      <w:r w:rsidRPr="00BF226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es-PE"/>
        </w:rPr>
        <w:t xml:space="preserve">Aldana Estrada, José David - jaldanae4@miumg.edu.gt</w:t>
      </w:r>
    </w:p>
    <w:p w:rsidR="00C13482" w:rsidRPr="00BF2264" w:rsidRDefault="00C13482" w:rsidP="00C13482">
      <w:pPr>
        <w:spacing w:after="0"/>
        <w:ind w:left="10" w:right="38" w:hanging="10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es-PE"/>
        </w:rPr>
      </w:pPr>
      <w:r w:rsidRPr="00BF226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es-PE"/>
        </w:rPr>
        <w:t xml:space="preserve">Alvarez Barrientos, Andersson Saúl - aalvarezb8@miumg.edu.gt</w:t>
      </w:r>
    </w:p>
    <w:p w:rsidR="00C13482" w:rsidRPr="00BF2264" w:rsidRDefault="00C13482" w:rsidP="00C13482">
      <w:pPr>
        <w:spacing w:after="0"/>
        <w:ind w:left="10" w:right="38" w:hanging="10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es-PE"/>
        </w:rPr>
      </w:pPr>
      <w:r w:rsidRPr="00BF226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es-PE"/>
        </w:rPr>
        <w:t xml:space="preserve">García Loaiza, Gerbert David - ggarcial17@miumg.edu.gt</w:t>
      </w:r>
    </w:p>
    <w:p w14:paraId="78779E99" w14:textId="073265DF" w:rsidR="00C13482" w:rsidRPr="00A0471F" w:rsidRDefault="00C13482" w:rsidP="00C13482">
      <w:pPr>
        <w:spacing w:before="240" w:after="0"/>
        <w:ind w:left="10" w:right="34" w:hanging="10"/>
        <w:jc w:val="center"/>
        <w:rPr>
          <w:rFonts w:ascii="Times New Roman" w:eastAsia="Times New Roman" w:hAnsi="Times New Roman" w:cs="Times New Roman"/>
          <w:b/>
          <w:color w:val="000000"/>
          <w:sz w:val="34"/>
          <w:szCs w:val="34"/>
          <w:lang w:eastAsia="es-PE"/>
        </w:rPr>
      </w:pPr>
      <w:r>
        <w:rPr>
          <w:rFonts w:ascii="Times New Roman" w:eastAsia="Times New Roman" w:hAnsi="Times New Roman" w:cs="Times New Roman"/>
          <w:b/>
          <w:color w:val="000000"/>
          <w:sz w:val="34"/>
          <w:szCs w:val="34"/>
          <w:lang w:eastAsia="es-PE"/>
        </w:rPr>
        <w:t>Profesor</w:t>
      </w:r>
      <w:r w:rsidRPr="00A0471F">
        <w:rPr>
          <w:rFonts w:ascii="Times New Roman" w:eastAsia="Times New Roman" w:hAnsi="Times New Roman" w:cs="Times New Roman"/>
          <w:b/>
          <w:color w:val="000000"/>
          <w:sz w:val="34"/>
          <w:szCs w:val="34"/>
          <w:lang w:eastAsia="es-PE"/>
        </w:rPr>
        <w:t xml:space="preserve"> </w:t>
      </w:r>
    </w:p>
    <w:p w14:paraId="200C4241" w14:textId="77777777" w:rsidR="00C13482" w:rsidRPr="00A0471F" w:rsidRDefault="00C13482" w:rsidP="00C13482">
      <w:pPr>
        <w:spacing w:after="0"/>
        <w:ind w:left="10" w:right="33" w:hanging="10"/>
        <w:jc w:val="center"/>
        <w:rPr>
          <w:rFonts w:ascii="Times New Roman" w:eastAsia="Times New Roman" w:hAnsi="Times New Roman" w:cs="Times New Roman"/>
          <w:b/>
          <w:color w:val="000000"/>
          <w:sz w:val="34"/>
          <w:szCs w:val="34"/>
          <w:lang w:eastAsia="es-PE"/>
        </w:rPr>
      </w:pPr>
      <w:r w:rsidRPr="00A0471F">
        <w:rPr>
          <w:rFonts w:ascii="Times New Roman" w:eastAsia="Times New Roman" w:hAnsi="Times New Roman" w:cs="Times New Roman"/>
          <w:b/>
          <w:color w:val="000000"/>
          <w:sz w:val="34"/>
          <w:szCs w:val="34"/>
          <w:lang w:eastAsia="es-PE"/>
        </w:rPr>
        <w:t xml:space="preserve">Ing. Buratti Aldana, Albino Cesare</w:t>
      </w:r>
    </w:p>
    <w:p w14:paraId="3CFAD025" w14:textId="77777777" w:rsidR="00C13482" w:rsidRPr="00A0471F" w:rsidRDefault="00C13482" w:rsidP="00C13482">
      <w:pPr>
        <w:spacing w:after="0"/>
        <w:rPr>
          <w:rFonts w:ascii="Times New Roman" w:eastAsia="Times New Roman" w:hAnsi="Times New Roman" w:cs="Times New Roman"/>
          <w:color w:val="000000"/>
          <w:sz w:val="24"/>
          <w:lang w:eastAsia="es-PE"/>
        </w:rPr>
      </w:pPr>
      <w:r w:rsidRPr="00A0471F">
        <w:rPr>
          <w:rFonts w:ascii="Times New Roman" w:eastAsia="Times New Roman" w:hAnsi="Times New Roman" w:cs="Times New Roman"/>
          <w:color w:val="000000"/>
          <w:sz w:val="24"/>
          <w:lang w:eastAsia="es-PE"/>
        </w:rPr>
        <w:t xml:space="preserve"> </w:t>
      </w:r>
    </w:p>
    <w:p w14:paraId="6A0208A7" w14:textId="071A5C26" w:rsidR="00C13482" w:rsidRPr="00A0471F" w:rsidRDefault="00C13482" w:rsidP="00C13482">
      <w:pPr>
        <w:spacing w:after="0"/>
        <w:ind w:left="10" w:right="38" w:hanging="10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es-PE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es-PE"/>
        </w:rPr>
        <w:t>Curso</w:t>
      </w:r>
    </w:p>
    <w:p w14:paraId="6B12D17F" w14:textId="4AA41849" w:rsidR="00C13482" w:rsidRPr="00A0471F" w:rsidRDefault="00C13482" w:rsidP="00C13482">
      <w:pPr>
        <w:spacing w:after="5" w:line="248" w:lineRule="auto"/>
        <w:ind w:right="30" w:hanging="10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es-PE"/>
        </w:rPr>
      </w:pPr>
      <w:r w:rsidRPr="00A0471F"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es-PE"/>
        </w:rPr>
        <w:t xml:space="preserve">Proyecto de Investigación I - 2026</w:t>
      </w:r>
    </w:p>
    <w:p w14:paraId="199B97FA" w14:textId="77777777" w:rsidR="00C13482" w:rsidRPr="00A0471F" w:rsidRDefault="00C13482" w:rsidP="00C13482">
      <w:pPr>
        <w:spacing w:after="0"/>
        <w:ind w:left="21"/>
        <w:jc w:val="center"/>
        <w:rPr>
          <w:rFonts w:ascii="Times New Roman" w:eastAsia="Times New Roman" w:hAnsi="Times New Roman" w:cs="Times New Roman"/>
          <w:color w:val="000000"/>
          <w:sz w:val="24"/>
          <w:lang w:eastAsia="es-PE"/>
        </w:rPr>
      </w:pPr>
      <w:r w:rsidRPr="00A0471F">
        <w:rPr>
          <w:rFonts w:ascii="Times New Roman" w:eastAsia="Times New Roman" w:hAnsi="Times New Roman" w:cs="Times New Roman"/>
          <w:color w:val="000000"/>
          <w:sz w:val="24"/>
          <w:lang w:eastAsia="es-PE"/>
        </w:rPr>
        <w:t xml:space="preserve"> </w:t>
      </w:r>
    </w:p>
    <w:p w14:paraId="128816E5" w14:textId="77777777" w:rsidR="00C13482" w:rsidRPr="00A0471F" w:rsidRDefault="00C13482" w:rsidP="00C13482">
      <w:pPr>
        <w:spacing w:after="0"/>
        <w:ind w:left="10" w:right="37" w:hanging="1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es-PE"/>
        </w:rPr>
        <w:t xml:space="preserve">Guatemala, octubre de 2026</w:t>
      </w:r>
    </w:p>
    <w:p>
      <w:pPr>
        <w:sectPr>
          <w:pgSz w:w="12240" w:h="15840"/>
          <w:pgMar w:top="1417" w:right="1417" w:bottom="1417" w:left="1984" w:header="720" w:footer="720" w:gutter="0"/>
          <w:cols w:space="720"/>
          <w:docGrid w:linePitch="360"/>
        </w:sectPr>
      </w:pPr>
    </w:p>
    <w:p>
      <w:pPr>
        <w:spacing w:before="0" w:after="0" w:line="360" w:lineRule="auto"/>
        <w:jc w:val="center"/>
        <w:rPr>
          <w:rFonts w:ascii="Arial" w:hAnsi="Arial" w:cs="Arial"/>
          <w:lang w:val="es-GT"/>
        </w:rPr>
      </w:pPr>
      <w:r>
        <w:rPr>
          <w:rFonts w:ascii="Arial" w:hAnsi="Arial" w:cs="Arial"/>
          <w:b/>
          <w:sz w:val="24"/>
          <w:szCs w:val="24"/>
          <w:lang w:val="es-GT"/>
        </w:rPr>
        <w:t xml:space="preserve">Tabla de contenido</w:t>
      </w:r>
    </w:p>
    <w:p>
      <w:pPr>
        <w:tabs>
          <w:tab w:val="right" w:leader="dot" w:pos="8830"/>
        </w:tabs>
        <w:spacing w:before="0" w:after="60" w:line="276" w:lineRule="auto"/>
        <w:jc w:val="left"/>
      </w:pPr>
      <w:r>
        <w:fldChar w:fldCharType="begin"/>
      </w:r>
      <w:r>
        <w:instrText xml:space="preserve">TOC \o "1-2" \h \z \u</w:instrText>
      </w:r>
      <w:r>
        <w:fldChar w:fldCharType="separate"/>
      </w:r>
      <w:hyperlink w:anchor="_Toc800201" w:history="1">
        <w:r>
          <w:rPr>
            <w:rFonts w:ascii="Arial" w:hAnsi="Arial" w:cs="Arial"/>
            <w:b/>
            <w:sz w:val="24"/>
            <w:szCs w:val="24"/>
            <w:lang w:val="es-GT"/>
          </w:rPr>
          <w:t xml:space="preserve">DESARROLLO DEL TEMA DE INVESTIGACIÓN</w:t>
        </w:r>
        <w:r>
          <w:rPr>
            <w:rFonts w:ascii="Arial" w:hAnsi="Arial" w:cs="Arial"/>
            <w:b/>
            <w:sz w:val="24"/>
            <w:szCs w:val="24"/>
            <w:lang w:val="es-GT"/>
          </w:rPr>
          <w:tab/>
        </w:r>
        <w:r>
          <w:rPr>
            <w:rFonts w:ascii="Arial" w:hAnsi="Arial" w:cs="Arial"/>
            <w:b/>
            <w:sz w:val="24"/>
            <w:szCs w:val="24"/>
            <w:lang w:val="es-GT"/>
          </w:rPr>
          <w:fldChar w:fldCharType="begin"/>
        </w:r>
        <w:r>
          <w:rPr>
            <w:rFonts w:ascii="Arial" w:hAnsi="Arial" w:cs="Arial"/>
            <w:b/>
            <w:sz w:val="24"/>
            <w:szCs w:val="24"/>
            <w:lang w:val="es-GT"/>
          </w:rPr>
          <w:instrText xml:space="preserve"> PAGEREF _Toc800201 \h </w:instrText>
        </w:r>
        <w:r>
          <w:rPr>
            <w:rFonts w:ascii="Arial" w:hAnsi="Arial" w:cs="Arial"/>
            <w:b/>
            <w:sz w:val="24"/>
            <w:szCs w:val="24"/>
            <w:lang w:val="es-GT"/>
          </w:rPr>
          <w:fldChar w:fldCharType="separate"/>
        </w:r>
        <w:r>
          <w:rPr>
            <w:rFonts w:ascii="Arial" w:hAnsi="Arial" w:cs="Arial"/>
            <w:b/>
            <w:sz w:val="24"/>
            <w:szCs w:val="24"/>
            <w:lang w:val="es-GT"/>
          </w:rPr>
          <w:t>1</w:t>
        </w:r>
        <w:r>
          <w:rPr>
            <w:rFonts w:ascii="Arial" w:hAnsi="Arial" w:cs="Arial"/>
            <w:b/>
            <w:sz w:val="24"/>
            <w:szCs w:val="24"/>
            <w:lang w:val="es-GT"/>
          </w:rPr>
          <w:fldChar w:fldCharType="end"/>
        </w:r>
      </w:hyperlink>
    </w:p>
    <w:p>
      <w:pPr>
        <w:tabs>
          <w:tab w:val="right" w:leader="dot" w:pos="8830"/>
        </w:tabs>
        <w:spacing w:before="0" w:after="60" w:line="276" w:lineRule="auto"/>
        <w:jc w:val="left"/>
      </w:pPr>
      <w:hyperlink w:anchor="_Toc800202" w:history="1">
        <w:r>
          <w:rPr>
            <w:rFonts w:ascii="Arial" w:hAnsi="Arial" w:cs="Arial"/>
            <w:b/>
            <w:sz w:val="24"/>
            <w:szCs w:val="24"/>
            <w:lang w:val="es-GT"/>
          </w:rPr>
          <w:t xml:space="preserve">HIPÓTESIS DE INVESTIGACIÓN GENERAL Y NULA</w:t>
        </w:r>
        <w:r>
          <w:rPr>
            <w:rFonts w:ascii="Arial" w:hAnsi="Arial" w:cs="Arial"/>
            <w:b/>
            <w:sz w:val="24"/>
            <w:szCs w:val="24"/>
            <w:lang w:val="es-GT"/>
          </w:rPr>
          <w:tab/>
        </w:r>
        <w:r>
          <w:rPr>
            <w:rFonts w:ascii="Arial" w:hAnsi="Arial" w:cs="Arial"/>
            <w:b/>
            <w:sz w:val="24"/>
            <w:szCs w:val="24"/>
            <w:lang w:val="es-GT"/>
          </w:rPr>
          <w:fldChar w:fldCharType="begin"/>
        </w:r>
        <w:r>
          <w:rPr>
            <w:rFonts w:ascii="Arial" w:hAnsi="Arial" w:cs="Arial"/>
            <w:b/>
            <w:sz w:val="24"/>
            <w:szCs w:val="24"/>
            <w:lang w:val="es-GT"/>
          </w:rPr>
          <w:instrText xml:space="preserve"> PAGEREF _Toc800202 \h </w:instrText>
        </w:r>
        <w:r>
          <w:rPr>
            <w:rFonts w:ascii="Arial" w:hAnsi="Arial" w:cs="Arial"/>
            <w:b/>
            <w:sz w:val="24"/>
            <w:szCs w:val="24"/>
            <w:lang w:val="es-GT"/>
          </w:rPr>
          <w:fldChar w:fldCharType="separate"/>
        </w:r>
        <w:r>
          <w:rPr>
            <w:rFonts w:ascii="Arial" w:hAnsi="Arial" w:cs="Arial"/>
            <w:b/>
            <w:sz w:val="24"/>
            <w:szCs w:val="24"/>
            <w:lang w:val="es-GT"/>
          </w:rPr>
          <w:t>3</w:t>
        </w:r>
        <w:r>
          <w:rPr>
            <w:rFonts w:ascii="Arial" w:hAnsi="Arial" w:cs="Arial"/>
            <w:b/>
            <w:sz w:val="24"/>
            <w:szCs w:val="24"/>
            <w:lang w:val="es-GT"/>
          </w:rPr>
          <w:fldChar w:fldCharType="end"/>
        </w:r>
      </w:hyperlink>
    </w:p>
    <w:p>
      <w:pPr>
        <w:tabs>
          <w:tab w:val="right" w:leader="dot" w:pos="8830"/>
        </w:tabs>
        <w:spacing w:before="0" w:after="60" w:line="276" w:lineRule="auto"/>
        <w:jc w:val="left"/>
      </w:pPr>
      <w:hyperlink w:anchor="_Toc800203" w:history="1">
        <w:r>
          <w:rPr>
            <w:rFonts w:ascii="Arial" w:hAnsi="Arial" w:cs="Arial"/>
            <w:b/>
            <w:sz w:val="24"/>
            <w:szCs w:val="24"/>
            <w:lang w:val="es-GT"/>
          </w:rPr>
          <w:t xml:space="preserve">OPERACIONALIZACIÓN DE LAS VARIABLES</w:t>
        </w:r>
        <w:r>
          <w:rPr>
            <w:rFonts w:ascii="Arial" w:hAnsi="Arial" w:cs="Arial"/>
            <w:b/>
            <w:sz w:val="24"/>
            <w:szCs w:val="24"/>
            <w:lang w:val="es-GT"/>
          </w:rPr>
          <w:tab/>
        </w:r>
        <w:r>
          <w:rPr>
            <w:rFonts w:ascii="Arial" w:hAnsi="Arial" w:cs="Arial"/>
            <w:b/>
            <w:sz w:val="24"/>
            <w:szCs w:val="24"/>
            <w:lang w:val="es-GT"/>
          </w:rPr>
          <w:fldChar w:fldCharType="begin"/>
        </w:r>
        <w:r>
          <w:rPr>
            <w:rFonts w:ascii="Arial" w:hAnsi="Arial" w:cs="Arial"/>
            <w:b/>
            <w:sz w:val="24"/>
            <w:szCs w:val="24"/>
            <w:lang w:val="es-GT"/>
          </w:rPr>
          <w:instrText xml:space="preserve"> PAGEREF _Toc800203 \h </w:instrText>
        </w:r>
        <w:r>
          <w:rPr>
            <w:rFonts w:ascii="Arial" w:hAnsi="Arial" w:cs="Arial"/>
            <w:b/>
            <w:sz w:val="24"/>
            <w:szCs w:val="24"/>
            <w:lang w:val="es-GT"/>
          </w:rPr>
          <w:fldChar w:fldCharType="separate"/>
        </w:r>
        <w:r>
          <w:rPr>
            <w:rFonts w:ascii="Arial" w:hAnsi="Arial" w:cs="Arial"/>
            <w:b/>
            <w:sz w:val="24"/>
            <w:szCs w:val="24"/>
            <w:lang w:val="es-GT"/>
          </w:rPr>
          <w:t>4</w:t>
        </w:r>
        <w:r>
          <w:rPr>
            <w:rFonts w:ascii="Arial" w:hAnsi="Arial" w:cs="Arial"/>
            <w:b/>
            <w:sz w:val="24"/>
            <w:szCs w:val="24"/>
            <w:lang w:val="es-GT"/>
          </w:rPr>
          <w:fldChar w:fldCharType="end"/>
        </w:r>
      </w:hyperlink>
    </w:p>
    <w:p>
      <w:pPr>
        <w:tabs>
          <w:tab w:val="right" w:leader="dot" w:pos="8830"/>
        </w:tabs>
        <w:spacing w:before="0" w:after="60" w:line="276" w:lineRule="auto"/>
        <w:jc w:val="left"/>
      </w:pPr>
      <w:hyperlink w:anchor="_Toc800204" w:history="1">
        <w:r>
          <w:rPr>
            <w:rFonts w:ascii="Arial" w:hAnsi="Arial" w:cs="Arial"/>
            <w:b/>
            <w:sz w:val="24"/>
            <w:szCs w:val="24"/>
            <w:lang w:val="es-GT"/>
          </w:rPr>
          <w:t xml:space="preserve">MATRIZ DE CONSISTENCIA</w:t>
        </w:r>
        <w:r>
          <w:rPr>
            <w:rFonts w:ascii="Arial" w:hAnsi="Arial" w:cs="Arial"/>
            <w:b/>
            <w:sz w:val="24"/>
            <w:szCs w:val="24"/>
            <w:lang w:val="es-GT"/>
          </w:rPr>
          <w:tab/>
        </w:r>
        <w:r>
          <w:rPr>
            <w:rFonts w:ascii="Arial" w:hAnsi="Arial" w:cs="Arial"/>
            <w:b/>
            <w:sz w:val="24"/>
            <w:szCs w:val="24"/>
            <w:lang w:val="es-GT"/>
          </w:rPr>
          <w:fldChar w:fldCharType="begin"/>
        </w:r>
        <w:r>
          <w:rPr>
            <w:rFonts w:ascii="Arial" w:hAnsi="Arial" w:cs="Arial"/>
            <w:b/>
            <w:sz w:val="24"/>
            <w:szCs w:val="24"/>
            <w:lang w:val="es-GT"/>
          </w:rPr>
          <w:instrText xml:space="preserve"> PAGEREF _Toc800204 \h </w:instrText>
        </w:r>
        <w:r>
          <w:rPr>
            <w:rFonts w:ascii="Arial" w:hAnsi="Arial" w:cs="Arial"/>
            <w:b/>
            <w:sz w:val="24"/>
            <w:szCs w:val="24"/>
            <w:lang w:val="es-GT"/>
          </w:rPr>
          <w:fldChar w:fldCharType="separate"/>
        </w:r>
        <w:r>
          <w:rPr>
            <w:rFonts w:ascii="Arial" w:hAnsi="Arial" w:cs="Arial"/>
            <w:b/>
            <w:sz w:val="24"/>
            <w:szCs w:val="24"/>
            <w:lang w:val="es-GT"/>
          </w:rPr>
          <w:t>5</w:t>
        </w:r>
        <w:r>
          <w:rPr>
            <w:rFonts w:ascii="Arial" w:hAnsi="Arial" w:cs="Arial"/>
            <w:b/>
            <w:sz w:val="24"/>
            <w:szCs w:val="24"/>
            <w:lang w:val="es-GT"/>
          </w:rPr>
          <w:fldChar w:fldCharType="end"/>
        </w:r>
      </w:hyperlink>
    </w:p>
    <w:p>
      <w:pPr>
        <w:tabs>
          <w:tab w:val="right" w:leader="dot" w:pos="8830"/>
        </w:tabs>
        <w:spacing w:before="0" w:after="60" w:line="276" w:lineRule="auto"/>
        <w:jc w:val="left"/>
      </w:pPr>
      <w:hyperlink w:anchor="_Toc800205" w:history="1">
        <w:r>
          <w:rPr>
            <w:rFonts w:ascii="Arial" w:hAnsi="Arial" w:cs="Arial"/>
            <w:b/>
            <w:sz w:val="24"/>
            <w:szCs w:val="24"/>
            <w:lang w:val="es-GT"/>
          </w:rPr>
          <w:t xml:space="preserve">REFERENCIAS</w:t>
        </w:r>
        <w:r>
          <w:rPr>
            <w:rFonts w:ascii="Arial" w:hAnsi="Arial" w:cs="Arial"/>
            <w:b/>
            <w:sz w:val="24"/>
            <w:szCs w:val="24"/>
            <w:lang w:val="es-GT"/>
          </w:rPr>
          <w:tab/>
        </w:r>
        <w:r>
          <w:rPr>
            <w:rFonts w:ascii="Arial" w:hAnsi="Arial" w:cs="Arial"/>
            <w:b/>
            <w:sz w:val="24"/>
            <w:szCs w:val="24"/>
            <w:lang w:val="es-GT"/>
          </w:rPr>
          <w:fldChar w:fldCharType="begin"/>
        </w:r>
        <w:r>
          <w:rPr>
            <w:rFonts w:ascii="Arial" w:hAnsi="Arial" w:cs="Arial"/>
            <w:b/>
            <w:sz w:val="24"/>
            <w:szCs w:val="24"/>
            <w:lang w:val="es-GT"/>
          </w:rPr>
          <w:instrText xml:space="preserve"> PAGEREF _Toc800205 \h </w:instrText>
        </w:r>
        <w:r>
          <w:rPr>
            <w:rFonts w:ascii="Arial" w:hAnsi="Arial" w:cs="Arial"/>
            <w:b/>
            <w:sz w:val="24"/>
            <w:szCs w:val="24"/>
            <w:lang w:val="es-GT"/>
          </w:rPr>
          <w:fldChar w:fldCharType="separate"/>
        </w:r>
        <w:r>
          <w:rPr>
            <w:rFonts w:ascii="Arial" w:hAnsi="Arial" w:cs="Arial"/>
            <w:b/>
            <w:sz w:val="24"/>
            <w:szCs w:val="24"/>
            <w:lang w:val="es-GT"/>
          </w:rPr>
          <w:t>6</w:t>
        </w:r>
        <w:r>
          <w:rPr>
            <w:rFonts w:ascii="Arial" w:hAnsi="Arial" w:cs="Arial"/>
            <w:b/>
            <w:sz w:val="24"/>
            <w:szCs w:val="24"/>
            <w:lang w:val="es-GT"/>
          </w:rPr>
          <w:fldChar w:fldCharType="end"/>
        </w:r>
      </w:hyperlink>
      <w:r>
        <w:fldChar w:fldCharType="end"/>
      </w:r>
    </w:p>
    <w:p>
      <w:pPr>
        <w:sectPr>
          <w:pgSz w:w="12240" w:h="15840"/>
          <w:pgMar w:top="1417" w:right="1417" w:bottom="1417" w:left="1984" w:header="720" w:footer="720" w:gutter="0"/>
          <w:cols w:space="720"/>
          <w:docGrid w:linePitch="360"/>
        </w:sectPr>
      </w:pPr>
    </w:p>
    <w:p>
      <w:pPr>
        <w:keepNext/>
        <w:spacing w:before="240" w:after="0" w:line="360" w:lineRule="auto"/>
        <w:jc w:val="center"/>
        <w:outlineLvl w:val="0"/>
        <w:rPr>
          <w:rFonts w:ascii="Arial" w:hAnsi="Arial" w:cs="Arial"/>
          <w:lang w:val="es-GT"/>
        </w:rPr>
      </w:pPr>
      <w:bookmarkStart w:id="201" w:name="_Toc800201"/>
      <w:r>
        <w:rPr>
          <w:rFonts w:ascii="Arial" w:hAnsi="Arial" w:cs="Arial"/>
          <w:b/>
          <w:sz w:val="28"/>
          <w:szCs w:val="28"/>
          <w:lang w:val="es-GT"/>
        </w:rPr>
        <w:t xml:space="preserve">DESARROLLO DEL TEMA DE INVESTIGACIÓN</w:t>
      </w:r>
      <w:bookmarkEnd w:id="201"/>
    </w:p>
    <w:p>
      <w:pPr>
        <w:spacing w:before="0" w:after="0" w:line="360" w:lineRule="auto"/>
        <w:ind w:firstLine="340"/>
        <w:jc w:val="both"/>
        <w:rPr>
          <w:rFonts w:ascii="Arial" w:hAnsi="Arial" w:cs="Arial"/>
          <w:lang w:val="es-GT"/>
        </w:rPr>
      </w:pPr>
      <w:r>
        <w:rPr>
          <w:rFonts w:ascii="Arial" w:hAnsi="Arial" w:cs="Arial"/>
          <w:b/>
          <w:sz w:val="24"/>
          <w:szCs w:val="24"/>
          <w:lang w:val="es-GT"/>
        </w:rPr>
        <w:t xml:space="preserve">Título. </w:t>
      </w:r>
      <w:r>
        <w:rPr>
          <w:rFonts w:ascii="Arial" w:hAnsi="Arial" w:cs="Arial"/>
          <w:sz w:val="24"/>
          <w:szCs w:val="24"/>
          <w:lang w:val="es-GT"/>
        </w:rPr>
        <w:t xml:space="preserve">Efecto de los controles de verificación al cliente sobre la diferencia entre el monto autorizado y el monto recibido en los desembolsos de créditos por billetera digital de una institución microfinanciera de Guatemala, 2027</w:t>
      </w:r>
    </w:p>
    <w:p>
      <w:pPr>
        <w:spacing w:before="0" w:after="0" w:line="360" w:lineRule="auto"/>
        <w:ind w:firstLine="340"/>
        <w:jc w:val="both"/>
        <w:rPr>
          <w:rFonts w:ascii="Arial" w:hAnsi="Arial" w:cs="Arial"/>
          <w:lang w:val="es-GT"/>
        </w:rPr>
      </w:pPr>
      <w:r>
        <w:rPr>
          <w:rFonts w:ascii="Arial" w:hAnsi="Arial" w:cs="Arial"/>
          <w:sz w:val="24"/>
          <w:szCs w:val="24"/>
          <w:lang w:val="es-GT"/>
        </w:rPr>
        <w:t xml:space="preserve">La institución otorga microcréditos por billetera digital a vendedores de mercado, por montos de hasta Q2,000 y plazos de hasta 30 días. El promotor registra la solicitud, el gerente de agencia la autoriza y el cliente retira el efectivo en una caja con su número de teléfono, el monto y un PIN. Cada promotor atiende entre 100 y 120 clientes.</w:t>
      </w:r>
    </w:p>
    <w:p>
      <w:pPr>
        <w:spacing w:before="0" w:after="0" w:line="360" w:lineRule="auto"/>
        <w:ind w:firstLine="340"/>
        <w:jc w:val="both"/>
        <w:rPr>
          <w:rFonts w:ascii="Arial" w:hAnsi="Arial" w:cs="Arial"/>
          <w:lang w:val="es-GT"/>
        </w:rPr>
      </w:pPr>
      <w:r>
        <w:rPr>
          <w:rFonts w:ascii="Arial" w:hAnsi="Arial" w:cs="Arial"/>
          <w:sz w:val="24"/>
          <w:szCs w:val="24"/>
          <w:lang w:val="es-GT"/>
        </w:rPr>
        <w:t xml:space="preserve">En un caso reciente, un promotor llenó la solicitud desde el teléfono del cliente, retiró el monto completo y le dijo que le habían autorizado una cantidad menor. De esa forma se quedó con la diferencia. El fraude afectó a cerca de 100 clientes y alcanzó unos Q100,000. Los controles actuales no lo detectaron: se descubrió por la supervisión y por conversaciones con los clientes.</w:t>
      </w:r>
    </w:p>
    <w:p>
      <w:pPr>
        <w:spacing w:before="0" w:after="0" w:line="360" w:lineRule="auto"/>
        <w:ind w:firstLine="340"/>
        <w:jc w:val="both"/>
        <w:rPr>
          <w:rFonts w:ascii="Arial" w:hAnsi="Arial" w:cs="Arial"/>
          <w:lang w:val="es-GT"/>
        </w:rPr>
      </w:pPr>
      <w:r>
        <w:rPr>
          <w:rFonts w:ascii="Arial" w:hAnsi="Arial" w:cs="Arial"/>
          <w:b/>
          <w:sz w:val="24"/>
          <w:szCs w:val="24"/>
          <w:lang w:val="es-GT"/>
        </w:rPr>
        <w:t xml:space="preserve">Pregunta central. </w:t>
      </w:r>
      <w:r>
        <w:rPr>
          <w:rFonts w:ascii="Arial" w:hAnsi="Arial" w:cs="Arial"/>
          <w:sz w:val="24"/>
          <w:szCs w:val="24"/>
          <w:lang w:val="es-GT"/>
        </w:rPr>
        <w:t xml:space="preserve">¿En qué medida los controles de verificación al cliente reducen la diferencia entre el monto autorizado y el monto recibido en los desembolsos de créditos por billetera digital de una agencia de una institución microfinanciera de Guatemala durante 2027?</w:t>
      </w:r>
    </w:p>
    <w:p>
      <w:pPr>
        <w:spacing w:before="0" w:after="0" w:line="360" w:lineRule="auto"/>
        <w:ind w:firstLine="340"/>
        <w:jc w:val="both"/>
        <w:rPr>
          <w:rFonts w:ascii="Arial" w:hAnsi="Arial" w:cs="Arial"/>
          <w:lang w:val="es-GT"/>
        </w:rPr>
      </w:pPr>
      <w:r>
        <w:rPr>
          <w:rFonts w:ascii="Arial" w:hAnsi="Arial" w:cs="Arial"/>
          <w:b/>
          <w:sz w:val="24"/>
          <w:szCs w:val="24"/>
          <w:lang w:val="es-GT"/>
        </w:rPr>
        <w:t xml:space="preserve">Objetivo general. </w:t>
      </w:r>
      <w:r>
        <w:rPr>
          <w:rFonts w:ascii="Arial" w:hAnsi="Arial" w:cs="Arial"/>
          <w:sz w:val="24"/>
          <w:szCs w:val="24"/>
          <w:lang w:val="es-GT"/>
        </w:rPr>
        <w:t xml:space="preserve">Determinar el efecto de los controles de verificación al cliente sobre la diferencia entre el monto autorizado y el monto recibido en los desembolsos de créditos por billetera digital de una agencia de una institución microfinanciera de Guatemala durante 2027.</w:t>
      </w:r>
    </w:p>
    <w:p>
      <w:pPr>
        <w:spacing w:before="0" w:after="0" w:line="360" w:lineRule="auto"/>
        <w:jc w:val="left"/>
        <w:rPr>
          <w:rFonts w:ascii="Arial" w:hAnsi="Arial" w:cs="Arial"/>
          <w:lang w:val="es-GT"/>
        </w:rPr>
      </w:pPr>
      <w:r>
        <w:rPr>
          <w:rFonts w:ascii="Arial" w:hAnsi="Arial" w:cs="Arial"/>
          <w:b/>
          <w:sz w:val="24"/>
          <w:szCs w:val="24"/>
          <w:lang w:val="es-GT"/>
        </w:rPr>
        <w:t xml:space="preserve">Objetivos específicos</w:t>
      </w:r>
    </w:p>
    <w:p>
      <w:pPr>
        <w:spacing w:before="0" w:after="0" w:line="360" w:lineRule="auto"/>
        <w:ind w:left="720" w:hanging="360"/>
        <w:jc w:val="both"/>
        <w:rPr>
          <w:rFonts w:ascii="Arial" w:hAnsi="Arial" w:cs="Arial"/>
          <w:lang w:val="es-GT"/>
        </w:rPr>
      </w:pPr>
      <w:r>
        <w:rPr>
          <w:rFonts w:ascii="Arial" w:hAnsi="Arial" w:cs="Arial"/>
          <w:sz w:val="24"/>
          <w:szCs w:val="24"/>
          <w:lang w:val="es-GT"/>
        </w:rPr>
        <w:t xml:space="preserve">1. </w:t>
      </w:r>
      <w:r>
        <w:rPr>
          <w:rFonts w:ascii="Arial" w:hAnsi="Arial" w:cs="Arial"/>
          <w:sz w:val="24"/>
          <w:szCs w:val="24"/>
          <w:lang w:val="es-GT"/>
        </w:rPr>
        <w:t xml:space="preserve">Determinar el porcentaje de desembolsos con diferencia de monto antes de aplicar los controles.</w:t>
      </w:r>
    </w:p>
    <w:p>
      <w:pPr>
        <w:spacing w:before="0" w:after="0" w:line="360" w:lineRule="auto"/>
        <w:ind w:left="720" w:hanging="360"/>
        <w:jc w:val="both"/>
        <w:rPr>
          <w:rFonts w:ascii="Arial" w:hAnsi="Arial" w:cs="Arial"/>
          <w:lang w:val="es-GT"/>
        </w:rPr>
      </w:pPr>
      <w:r>
        <w:rPr>
          <w:rFonts w:ascii="Arial" w:hAnsi="Arial" w:cs="Arial"/>
          <w:sz w:val="24"/>
          <w:szCs w:val="24"/>
          <w:lang w:val="es-GT"/>
        </w:rPr>
        <w:t xml:space="preserve">2. </w:t>
      </w:r>
      <w:r>
        <w:rPr>
          <w:rFonts w:ascii="Arial" w:hAnsi="Arial" w:cs="Arial"/>
          <w:sz w:val="24"/>
          <w:szCs w:val="24"/>
          <w:lang w:val="es-GT"/>
        </w:rPr>
        <w:t xml:space="preserve">Aplicar los controles de verificación al cliente durante el periodo de estudio y registrar su cumplimiento.</w:t>
      </w:r>
    </w:p>
    <w:p>
      <w:pPr>
        <w:spacing w:before="0" w:after="0" w:line="360" w:lineRule="auto"/>
        <w:ind w:left="720" w:hanging="360"/>
        <w:jc w:val="both"/>
        <w:rPr>
          <w:rFonts w:ascii="Arial" w:hAnsi="Arial" w:cs="Arial"/>
          <w:lang w:val="es-GT"/>
        </w:rPr>
      </w:pPr>
      <w:r>
        <w:rPr>
          <w:rFonts w:ascii="Arial" w:hAnsi="Arial" w:cs="Arial"/>
          <w:sz w:val="24"/>
          <w:szCs w:val="24"/>
          <w:lang w:val="es-GT"/>
        </w:rPr>
        <w:t xml:space="preserve">3. </w:t>
      </w:r>
      <w:r>
        <w:rPr>
          <w:rFonts w:ascii="Arial" w:hAnsi="Arial" w:cs="Arial"/>
          <w:sz w:val="24"/>
          <w:szCs w:val="24"/>
          <w:lang w:val="es-GT"/>
        </w:rPr>
        <w:t xml:space="preserve">Comparar el porcentaje de desembolsos con diferencia de monto antes y después de aplicar los controles.</w:t>
      </w:r>
    </w:p>
    <w:p>
      <w:pPr>
        <w:spacing w:before="0" w:after="0" w:line="360" w:lineRule="auto"/>
        <w:ind w:firstLine="340"/>
        <w:jc w:val="both"/>
        <w:rPr>
          <w:rFonts w:ascii="Arial" w:hAnsi="Arial" w:cs="Arial"/>
          <w:lang w:val="es-GT"/>
        </w:rPr>
      </w:pPr>
      <w:r>
        <w:rPr>
          <w:rFonts w:ascii="Arial" w:hAnsi="Arial" w:cs="Arial"/>
          <w:b/>
          <w:sz w:val="24"/>
          <w:szCs w:val="24"/>
          <w:lang w:val="es-GT"/>
        </w:rPr>
        <w:t xml:space="preserve">Delimitación. </w:t>
      </w:r>
      <w:r>
        <w:rPr>
          <w:rFonts w:ascii="Arial" w:hAnsi="Arial" w:cs="Arial"/>
          <w:sz w:val="24"/>
          <w:szCs w:val="24"/>
          <w:lang w:val="es-GT"/>
        </w:rPr>
        <w:t xml:space="preserve">El estudio se limita a una agencia de la institución, a los desembolsos digitales de microcréditos entre el 15 de abril y el 15 de agosto de 2027 y a la diferencia entre el monto autorizado y el monto recibido.</w:t>
      </w:r>
    </w:p>
    <w:p>
      <w:pPr>
        <w:spacing w:before="60" w:after="200" w:line="240" w:lineRule="auto"/>
        <w:jc w:val="left"/>
        <w:rPr>
          <w:rFonts w:ascii="Arial" w:hAnsi="Arial" w:cs="Arial"/>
          <w:lang w:val="es-GT"/>
        </w:rPr>
      </w:pPr>
      <w:r>
        <w:rPr>
          <w:rFonts w:ascii="Arial" w:hAnsi="Arial" w:cs="Arial"/>
          <w:i/>
          <w:sz w:val="20"/>
          <w:szCs w:val="20"/>
          <w:lang w:val="es-GT"/>
        </w:rPr>
        <w:t xml:space="preserve">Nota. </w:t>
      </w:r>
      <w:r>
        <w:rPr>
          <w:rFonts w:ascii="Arial" w:hAnsi="Arial" w:cs="Arial"/>
          <w:sz w:val="20"/>
          <w:szCs w:val="20"/>
          <w:lang w:val="es-GT"/>
        </w:rPr>
        <w:t xml:space="preserve">Los datos del caso los proporcionó un supervisor de la institución y se confirmarán con la autorización del estudio. La institución y las personas se mantienen en el anonimato.</w:t>
      </w:r>
    </w:p>
    <w:p>
      <w:pPr>
        <w:keepNext/>
        <w:pageBreakBefore/>
        <w:spacing w:before="240" w:after="0" w:line="360" w:lineRule="auto"/>
        <w:jc w:val="center"/>
        <w:outlineLvl w:val="0"/>
        <w:rPr>
          <w:rFonts w:ascii="Arial" w:hAnsi="Arial" w:cs="Arial"/>
          <w:lang w:val="es-GT"/>
        </w:rPr>
      </w:pPr>
      <w:bookmarkStart w:id="202" w:name="_Toc800202"/>
      <w:r>
        <w:rPr>
          <w:rFonts w:ascii="Arial" w:hAnsi="Arial" w:cs="Arial"/>
          <w:b/>
          <w:sz w:val="28"/>
          <w:szCs w:val="28"/>
          <w:lang w:val="es-GT"/>
        </w:rPr>
        <w:t xml:space="preserve">HIPÓTESIS DE INVESTIGACIÓN GENERAL Y NULA</w:t>
      </w:r>
      <w:bookmarkEnd w:id="202"/>
    </w:p>
    <w:p>
      <w:pPr>
        <w:spacing w:before="0" w:after="0" w:line="360" w:lineRule="auto"/>
        <w:ind w:firstLine="340"/>
        <w:jc w:val="both"/>
        <w:rPr>
          <w:rFonts w:ascii="Arial" w:hAnsi="Arial" w:cs="Arial"/>
          <w:lang w:val="es-GT"/>
        </w:rPr>
      </w:pPr>
      <w:r>
        <w:rPr>
          <w:rFonts w:ascii="Arial" w:hAnsi="Arial" w:cs="Arial"/>
          <w:sz w:val="24"/>
          <w:szCs w:val="24"/>
          <w:lang w:val="es-GT"/>
        </w:rPr>
        <w:t xml:space="preserve">La hipótesis general es una respuesta posible a la pregunta de investigación. La hipótesis nula afirma lo contrario, es decir, que no existe el efecto que se busca (Hernández-Sampieri &amp; Mendoza, 2018).</w:t>
      </w:r>
    </w:p>
    <w:p>
      <w:pPr>
        <w:spacing w:before="0" w:after="0" w:line="360" w:lineRule="auto"/>
        <w:ind w:firstLine="340"/>
        <w:jc w:val="both"/>
        <w:rPr>
          <w:rFonts w:ascii="Arial" w:hAnsi="Arial" w:cs="Arial"/>
          <w:lang w:val="es-GT"/>
        </w:rPr>
      </w:pPr>
      <w:r>
        <w:rPr>
          <w:rFonts w:ascii="Arial" w:hAnsi="Arial" w:cs="Arial"/>
          <w:b/>
          <w:sz w:val="24"/>
          <w:szCs w:val="24"/>
          <w:lang w:val="es-GT"/>
        </w:rPr>
        <w:t xml:space="preserve">Hipótesis general (H1). </w:t>
      </w:r>
      <w:r>
        <w:rPr>
          <w:rFonts w:ascii="Arial" w:hAnsi="Arial" w:cs="Arial"/>
          <w:sz w:val="24"/>
          <w:szCs w:val="24"/>
          <w:lang w:val="es-GT"/>
        </w:rPr>
        <w:t xml:space="preserve">Si la institución aplica controles de verificación al cliente, disminuye el porcentaje de desembolsos en los que el cliente recibe un monto menor al autorizado.</w:t>
      </w:r>
    </w:p>
    <w:p>
      <w:pPr>
        <w:spacing w:before="0" w:after="0" w:line="360" w:lineRule="auto"/>
        <w:ind w:firstLine="340"/>
        <w:jc w:val="both"/>
        <w:rPr>
          <w:rFonts w:ascii="Arial" w:hAnsi="Arial" w:cs="Arial"/>
          <w:lang w:val="es-GT"/>
        </w:rPr>
      </w:pPr>
      <w:r>
        <w:rPr>
          <w:rFonts w:ascii="Arial" w:hAnsi="Arial" w:cs="Arial"/>
          <w:b/>
          <w:sz w:val="24"/>
          <w:szCs w:val="24"/>
          <w:lang w:val="es-GT"/>
        </w:rPr>
        <w:t xml:space="preserve">Hipótesis nula (H0). </w:t>
      </w:r>
      <w:r>
        <w:rPr>
          <w:rFonts w:ascii="Arial" w:hAnsi="Arial" w:cs="Arial"/>
          <w:sz w:val="24"/>
          <w:szCs w:val="24"/>
          <w:lang w:val="es-GT"/>
        </w:rPr>
        <w:t xml:space="preserve">Aplicar controles de verificación al cliente no disminuye el porcentaje de desembolsos en los que el cliente recibe un monto menor al autorizado.</w:t>
      </w:r>
    </w:p>
    <w:p>
      <w:pPr>
        <w:keepNext/>
        <w:pageBreakBefore/>
        <w:spacing w:before="240" w:after="0" w:line="360" w:lineRule="auto"/>
        <w:jc w:val="center"/>
        <w:outlineLvl w:val="0"/>
        <w:rPr>
          <w:rFonts w:ascii="Arial" w:hAnsi="Arial" w:cs="Arial"/>
          <w:lang w:val="es-GT"/>
        </w:rPr>
      </w:pPr>
      <w:bookmarkStart w:id="203" w:name="_Toc800203"/>
      <w:r>
        <w:rPr>
          <w:rFonts w:ascii="Arial" w:hAnsi="Arial" w:cs="Arial"/>
          <w:b/>
          <w:sz w:val="28"/>
          <w:szCs w:val="28"/>
          <w:lang w:val="es-GT"/>
        </w:rPr>
        <w:t xml:space="preserve">OPERACIONALIZACIÓN DE LAS VARIABLES</w:t>
      </w:r>
      <w:bookmarkEnd w:id="203"/>
    </w:p>
    <w:p>
      <w:pPr>
        <w:spacing w:before="0" w:after="0" w:line="360" w:lineRule="auto"/>
        <w:ind w:firstLine="340"/>
        <w:jc w:val="both"/>
        <w:rPr>
          <w:rFonts w:ascii="Arial" w:hAnsi="Arial" w:cs="Arial"/>
          <w:lang w:val="es-GT"/>
        </w:rPr>
      </w:pPr>
      <w:r>
        <w:rPr>
          <w:rFonts w:ascii="Arial" w:hAnsi="Arial" w:cs="Arial"/>
          <w:sz w:val="24"/>
          <w:szCs w:val="24"/>
          <w:lang w:val="es-GT"/>
        </w:rPr>
        <w:t xml:space="preserve">La Tabla 1 define las dos variables principales del estudio y explica cómo se medirá cada una. La variable independiente es la que se aplica para observar su efecto, y la dependiente es la que cambia como resultado.</w:t>
      </w:r>
    </w:p>
    <w:p>
      <w:pPr>
        <w:keepNext/>
        <w:spacing w:before="200" w:after="0" w:line="240" w:lineRule="auto"/>
        <w:jc w:val="left"/>
        <w:rPr>
          <w:rFonts w:ascii="Arial" w:hAnsi="Arial" w:cs="Arial"/>
          <w:lang w:val="es-GT"/>
        </w:rPr>
      </w:pPr>
      <w:r>
        <w:rPr>
          <w:rFonts w:ascii="Arial" w:hAnsi="Arial" w:cs="Arial"/>
          <w:b/>
          <w:sz w:val="22"/>
          <w:szCs w:val="22"/>
          <w:lang w:val="es-GT"/>
        </w:rPr>
        <w:t xml:space="preserve">Tabla 1</w:t>
      </w:r>
    </w:p>
    <w:p>
      <w:pPr>
        <w:keepNext/>
        <w:spacing w:before="0" w:after="60" w:line="240" w:lineRule="auto"/>
        <w:jc w:val="left"/>
        <w:rPr>
          <w:rFonts w:ascii="Arial" w:hAnsi="Arial" w:cs="Arial"/>
          <w:lang w:val="es-GT"/>
        </w:rPr>
      </w:pPr>
      <w:r>
        <w:rPr>
          <w:rFonts w:ascii="Arial" w:hAnsi="Arial" w:cs="Arial"/>
          <w:i/>
          <w:sz w:val="22"/>
          <w:szCs w:val="22"/>
          <w:lang w:val="es-GT"/>
        </w:rPr>
        <w:t xml:space="preserve">Operacionalización de las variables principales</w:t>
      </w:r>
    </w:p>
    <w:tbl>
      <w:tblPr>
        <w:tblW w:w="8839" w:type="dxa"/>
        <w:tblLayout w:type="fixed"/>
        <w:tblLook w:val="04A0" w:firstRow="1" w:lastRow="0" w:firstColumn="1" w:lastColumn="0" w:noHBand="0" w:noVBand="1"/>
      </w:tblPr>
      <w:tblGrid>
        <w:gridCol w:w="1000"/>
        <w:gridCol w:w="1400"/>
        <w:gridCol w:w="1800"/>
        <w:gridCol w:w="900"/>
        <w:gridCol w:w="2000"/>
        <w:gridCol w:w="1739"/>
      </w:tblGrid>
      <w:tr>
        <w:trPr>
          <w:cantSplit/>
          <w:tblHeader/>
        </w:trPr>
        <w:tc>
          <w:tcPr>
            <w:tcW w:w="1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s-GT"/>
              </w:rPr>
              <w:t xml:space="preserve">Variable</w:t>
            </w:r>
          </w:p>
        </w:tc>
        <w:tc>
          <w:tcPr>
            <w:tcW w:w="14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s-GT"/>
              </w:rPr>
              <w:t xml:space="preserve">Definición conceptual</w:t>
            </w:r>
          </w:p>
        </w:tc>
        <w:tc>
          <w:tcPr>
            <w:tcW w:w="1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s-GT"/>
              </w:rPr>
              <w:t xml:space="preserve">Definición operacional</w:t>
            </w:r>
          </w:p>
        </w:tc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s-GT"/>
              </w:rPr>
              <w:t xml:space="preserve">Dimensiones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s-GT"/>
              </w:rPr>
              <w:t xml:space="preserve">Indicadores</w:t>
            </w:r>
          </w:p>
        </w:tc>
        <w:tc>
          <w:tcPr>
            <w:tcW w:w="173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s-GT"/>
              </w:rPr>
              <w:t xml:space="preserve">Escala e instrumento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Controles de verificación al cliente (independiente)</w:t>
            </w:r>
          </w:p>
        </w:tc>
        <w:tc>
          <w:tcPr>
            <w:tcW w:w="14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Medidas que permiten comprobar que el cliente conoce el monto autorizado y que recibe ese monto.</w:t>
            </w:r>
          </w:p>
        </w:tc>
        <w:tc>
          <w:tcPr>
            <w:tcW w:w="18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Aplicación de cuatro controles en la agencia: comprobante firmado con el monto autorizado, el monto recibido y la fecha de pago; llamada de verificación a una muestra de clientes; alertas por comportamiento sospechoso; y aviso a los clientes en el mercado.</w:t>
            </w:r>
          </w:p>
        </w:tc>
        <w:tc>
          <w:tcPr>
            <w:tcW w:w="9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Información al cliente.</w:t>
            </w:r>
          </w:p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Verificación.</w:t>
            </w:r>
          </w:p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Detección.</w:t>
            </w:r>
          </w:p>
        </w:tc>
        <w:tc>
          <w:tcPr>
            <w:tcW w:w="20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Porcentaje de desembolsos con comprobante firmado.</w:t>
            </w:r>
          </w:p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Porcentaje de llamadas completadas sobre las programadas.</w:t>
            </w:r>
          </w:p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Número de alertas generadas y revisadas.</w:t>
            </w:r>
          </w:p>
        </w:tc>
        <w:tc>
          <w:tcPr>
            <w:tcW w:w="1739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Razón (porcentaje). Lista de cotejo.</w:t>
            </w:r>
          </w:p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Razón (porcentaje). Lista de cotejo.</w:t>
            </w:r>
          </w:p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Razón (cantidad). Registro de alertas.</w:t>
            </w:r>
          </w:p>
        </w:tc>
      </w:tr>
      <w:tr>
        <w:trPr>
          <w:cantSplit/>
        </w:trPr>
        <w:tc>
          <w:tcPr>
            <w:tcW w:w="1000" w:type="dxa"/>
            <w:tcBorders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Diferencia entre el monto autorizado y el monto recibido (dependiente)</w:t>
            </w:r>
          </w:p>
        </w:tc>
        <w:tc>
          <w:tcPr>
            <w:tcW w:w="1400" w:type="dxa"/>
            <w:tcBorders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Diferencia entre lo que la institución autoriza al cliente y lo que el cliente recibe realmente.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Porcentaje de desembolsos verificados en los que el cliente dice haber recibido menos que el monto autorizado en el sistema.</w:t>
            </w:r>
          </w:p>
        </w:tc>
        <w:tc>
          <w:tcPr>
            <w:tcW w:w="900" w:type="dxa"/>
            <w:tcBorders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Frecuencia.</w:t>
            </w:r>
          </w:p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Monto.</w:t>
            </w:r>
          </w:p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Por promotor.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Porcentaje de desembolsos con diferencia.</w:t>
            </w:r>
          </w:p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Promedio de la diferencia, en quetzales.</w:t>
            </w:r>
          </w:p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Número de casos por promotor.</w:t>
            </w:r>
          </w:p>
        </w:tc>
        <w:tc>
          <w:tcPr>
            <w:tcW w:w="1739" w:type="dxa"/>
            <w:tcBorders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Razón (porcentaje). Llamada de verificación.</w:t>
            </w:r>
          </w:p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Razón (quetzales). Reporte de desembolsos.</w:t>
            </w:r>
          </w:p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Razón (cantidad). Reporte de desembolsos.</w:t>
            </w:r>
          </w:p>
        </w:tc>
      </w:tr>
    </w:tbl>
    <w:p>
      <w:pPr>
        <w:spacing w:before="60" w:after="200" w:line="240" w:lineRule="auto"/>
        <w:jc w:val="left"/>
        <w:rPr>
          <w:rFonts w:ascii="Arial" w:hAnsi="Arial" w:cs="Arial"/>
          <w:lang w:val="es-GT"/>
        </w:rPr>
      </w:pPr>
      <w:r>
        <w:rPr>
          <w:rFonts w:ascii="Arial" w:hAnsi="Arial" w:cs="Arial"/>
          <w:i/>
          <w:sz w:val="20"/>
          <w:szCs w:val="20"/>
          <w:lang w:val="es-GT"/>
        </w:rPr>
        <w:t xml:space="preserve">Nota. </w:t>
      </w:r>
      <w:r>
        <w:rPr>
          <w:rFonts w:ascii="Arial" w:hAnsi="Arial" w:cs="Arial"/>
          <w:sz w:val="20"/>
          <w:szCs w:val="20"/>
          <w:lang w:val="es-GT"/>
        </w:rPr>
        <w:t xml:space="preserve">Elaboración propia con base en el caso de estudio y en Hernández-Sampieri y Mendoza (2018).</w:t>
      </w:r>
    </w:p>
    <w:p>
      <w:pPr>
        <w:keepNext/>
        <w:pageBreakBefore/>
        <w:spacing w:before="240" w:after="0" w:line="360" w:lineRule="auto"/>
        <w:jc w:val="center"/>
        <w:outlineLvl w:val="0"/>
        <w:rPr>
          <w:rFonts w:ascii="Arial" w:hAnsi="Arial" w:cs="Arial"/>
          <w:lang w:val="es-GT"/>
        </w:rPr>
      </w:pPr>
      <w:bookmarkStart w:id="204" w:name="_Toc800204"/>
      <w:r>
        <w:rPr>
          <w:rFonts w:ascii="Arial" w:hAnsi="Arial" w:cs="Arial"/>
          <w:b/>
          <w:sz w:val="28"/>
          <w:szCs w:val="28"/>
          <w:lang w:val="es-GT"/>
        </w:rPr>
        <w:t xml:space="preserve">MATRIZ DE CONSISTENCIA</w:t>
      </w:r>
      <w:bookmarkEnd w:id="204"/>
    </w:p>
    <w:p>
      <w:pPr>
        <w:spacing w:before="0" w:after="0" w:line="360" w:lineRule="auto"/>
        <w:ind w:firstLine="340"/>
        <w:jc w:val="both"/>
        <w:rPr>
          <w:rFonts w:ascii="Arial" w:hAnsi="Arial" w:cs="Arial"/>
          <w:lang w:val="es-GT"/>
        </w:rPr>
      </w:pPr>
      <w:r>
        <w:rPr>
          <w:rFonts w:ascii="Arial" w:hAnsi="Arial" w:cs="Arial"/>
          <w:sz w:val="24"/>
          <w:szCs w:val="24"/>
          <w:lang w:val="es-GT"/>
        </w:rPr>
        <w:t xml:space="preserve">La Tabla 2 resume el estudio en una sola vista: el problema, los objetivos, la hipótesis, las variables y la metodología. Sirve para comprobar que todas las partes se corresponden entre sí.</w:t>
      </w:r>
    </w:p>
    <w:p>
      <w:pPr>
        <w:keepNext/>
        <w:spacing w:before="200" w:after="0" w:line="240" w:lineRule="auto"/>
        <w:jc w:val="left"/>
        <w:rPr>
          <w:rFonts w:ascii="Arial" w:hAnsi="Arial" w:cs="Arial"/>
          <w:lang w:val="es-GT"/>
        </w:rPr>
      </w:pPr>
      <w:r>
        <w:rPr>
          <w:rFonts w:ascii="Arial" w:hAnsi="Arial" w:cs="Arial"/>
          <w:b/>
          <w:sz w:val="22"/>
          <w:szCs w:val="22"/>
          <w:lang w:val="es-GT"/>
        </w:rPr>
        <w:t xml:space="preserve">Tabla 2</w:t>
      </w:r>
    </w:p>
    <w:p>
      <w:pPr>
        <w:keepNext/>
        <w:spacing w:before="0" w:after="60" w:line="240" w:lineRule="auto"/>
        <w:jc w:val="left"/>
        <w:rPr>
          <w:rFonts w:ascii="Arial" w:hAnsi="Arial" w:cs="Arial"/>
          <w:lang w:val="es-GT"/>
        </w:rPr>
      </w:pPr>
      <w:r>
        <w:rPr>
          <w:rFonts w:ascii="Arial" w:hAnsi="Arial" w:cs="Arial"/>
          <w:i/>
          <w:sz w:val="22"/>
          <w:szCs w:val="22"/>
          <w:lang w:val="es-GT"/>
        </w:rPr>
        <w:t xml:space="preserve">Matriz de consistencia</w:t>
      </w:r>
    </w:p>
    <w:tbl>
      <w:tblPr>
        <w:tblW w:w="8839" w:type="dxa"/>
        <w:tblLayout w:type="fixed"/>
        <w:tblLook w:val="04A0" w:firstRow="1" w:lastRow="0" w:firstColumn="1" w:lastColumn="0" w:noHBand="0" w:noVBand="1"/>
      </w:tblPr>
      <w:tblGrid>
        <w:gridCol w:w="1800"/>
        <w:gridCol w:w="1800"/>
        <w:gridCol w:w="1700"/>
        <w:gridCol w:w="1700"/>
        <w:gridCol w:w="1839"/>
      </w:tblGrid>
      <w:tr>
        <w:trPr>
          <w:cantSplit/>
          <w:tblHeader/>
        </w:trPr>
        <w:tc>
          <w:tcPr>
            <w:tcW w:w="1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s-GT"/>
              </w:rPr>
              <w:t xml:space="preserve">Problemas</w:t>
            </w:r>
          </w:p>
        </w:tc>
        <w:tc>
          <w:tcPr>
            <w:tcW w:w="1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s-GT"/>
              </w:rPr>
              <w:t xml:space="preserve">Objetivos</w:t>
            </w:r>
          </w:p>
        </w:tc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s-GT"/>
              </w:rPr>
              <w:t xml:space="preserve">Hipótesis</w:t>
            </w:r>
          </w:p>
        </w:tc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s-GT"/>
              </w:rPr>
              <w:t xml:space="preserve">Variables</w:t>
            </w:r>
          </w:p>
        </w:tc>
        <w:tc>
          <w:tcPr>
            <w:tcW w:w="183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s-GT"/>
              </w:rPr>
              <w:t xml:space="preserve">Metodología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General: ¿En qué medida los controles de verificación al cliente reducen la diferencia entre el monto autorizado y el monto recibido en los desembolsos de créditos por billetera digital de una agencia durante 2027?</w:t>
            </w:r>
          </w:p>
        </w:tc>
        <w:tc>
          <w:tcPr>
            <w:tcW w:w="18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General: determinar el efecto de los controles de verificación al cliente sobre la diferencia entre el monto autorizado y el monto recibido en los desembolsos de una agencia durante 2027.</w:t>
            </w:r>
          </w:p>
        </w:tc>
        <w:tc>
          <w:tcPr>
            <w:tcW w:w="17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H1: si la institución aplica controles de verificación al cliente, disminuye el porcentaje de desembolsos con diferencia de monto.</w:t>
            </w:r>
          </w:p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H0: los controles no disminuyen ese porcentaje.</w:t>
            </w:r>
          </w:p>
        </w:tc>
        <w:tc>
          <w:tcPr>
            <w:tcW w:w="17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VI: controles de verificación al cliente.</w:t>
            </w:r>
          </w:p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VD: diferencia entre el monto autorizado y el monto recibido.</w:t>
            </w:r>
          </w:p>
        </w:tc>
        <w:tc>
          <w:tcPr>
            <w:tcW w:w="1839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Enfoque cuantitativo, alcance explicativo y diseño cuasi-experimental, con medición antes y después. Muestra aleatoria de desembolsos de una agencia. Instrumentos: llamada de verificación, lista de cotejo y reporte de desembolsos. Se comparan los porcentajes antes y después.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Específico 1: ¿Qué porcentaje de desembolsos tiene diferencia de monto antes de aplicar los controles?</w:t>
            </w:r>
          </w:p>
        </w:tc>
        <w:tc>
          <w:tcPr>
            <w:tcW w:w="18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Específico 1: determinar el porcentaje de desembolsos con diferencia de monto antes de aplicar los controles.</w:t>
            </w:r>
          </w:p>
        </w:tc>
        <w:tc>
          <w:tcPr>
            <w:tcW w:w="17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Da el punto de partida para probar la hipótesis general.</w:t>
            </w:r>
          </w:p>
        </w:tc>
        <w:tc>
          <w:tcPr>
            <w:tcW w:w="17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Indicador: porcentaje de desembolsos con diferencia.</w:t>
            </w:r>
          </w:p>
        </w:tc>
        <w:tc>
          <w:tcPr>
            <w:tcW w:w="1839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Llamadas de verificación a una muestra aleatoria de desembolsos antes de aplicar los controles.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Específico 2: ¿En qué medida se cumplen los controles durante el estudio?</w:t>
            </w:r>
          </w:p>
        </w:tc>
        <w:tc>
          <w:tcPr>
            <w:tcW w:w="18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Específico 2: aplicar los controles durante el periodo de estudio y registrar su cumplimiento.</w:t>
            </w:r>
          </w:p>
        </w:tc>
        <w:tc>
          <w:tcPr>
            <w:tcW w:w="17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Confirma que los controles se aplicaron como se planificó.</w:t>
            </w:r>
          </w:p>
        </w:tc>
        <w:tc>
          <w:tcPr>
            <w:tcW w:w="1700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Indicadores: comprobantes firmados, llamadas completadas y alertas revisadas.</w:t>
            </w:r>
          </w:p>
        </w:tc>
        <w:tc>
          <w:tcPr>
            <w:tcW w:w="1839" w:type="dxa"/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Lista de cotejo y registro semanal de los controles.</w:t>
            </w:r>
          </w:p>
        </w:tc>
      </w:tr>
      <w:tr>
        <w:trPr>
          <w:cantSplit/>
        </w:trPr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Específico 3: ¿Cómo cambia ese porcentaje después de aplicar los controles?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Específico 3: comparar el porcentaje de desembolsos con diferencia antes y después de aplicar los controles.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Permite probar la hipótesis general.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Indicador: porcentaje de desembolsos con diferencia, antes y después.</w:t>
            </w:r>
          </w:p>
        </w:tc>
        <w:tc>
          <w:tcPr>
            <w:tcW w:w="1839" w:type="dxa"/>
            <w:tcBorders>
              <w:bottom w:val="single" w:sz="6" w:space="0" w:color="000000"/>
            </w:tcBorders>
          </w:tcPr>
          <w:p>
            <w:pPr>
              <w:spacing w:before="40" w:after="40" w:line="240" w:lineRule="auto"/>
              <w:jc w:val="left"/>
              <w:rPr>
                <w:rFonts w:ascii="Arial" w:hAnsi="Arial" w:cs="Arial"/>
                <w:lang w:val="es-GT"/>
              </w:rPr>
            </w:pPr>
            <w:r>
              <w:rPr>
                <w:rFonts w:ascii="Arial" w:hAnsi="Arial" w:cs="Arial"/>
                <w:sz w:val="16"/>
                <w:szCs w:val="16"/>
                <w:lang w:val="es-GT"/>
              </w:rPr>
              <w:t xml:space="preserve">Llamadas de verificación a una muestra aleatoria después de aplicar los controles, y comparación de los dos porcentajes.</w:t>
            </w:r>
          </w:p>
        </w:tc>
      </w:tr>
    </w:tbl>
    <w:p>
      <w:pPr>
        <w:spacing w:before="60" w:after="200" w:line="240" w:lineRule="auto"/>
        <w:jc w:val="left"/>
        <w:rPr>
          <w:rFonts w:ascii="Arial" w:hAnsi="Arial" w:cs="Arial"/>
          <w:lang w:val="es-GT"/>
        </w:rPr>
      </w:pPr>
      <w:r>
        <w:rPr>
          <w:rFonts w:ascii="Arial" w:hAnsi="Arial" w:cs="Arial"/>
          <w:i/>
          <w:sz w:val="20"/>
          <w:szCs w:val="20"/>
          <w:lang w:val="es-GT"/>
        </w:rPr>
        <w:t xml:space="preserve">Nota. </w:t>
      </w:r>
      <w:r>
        <w:rPr>
          <w:rFonts w:ascii="Arial" w:hAnsi="Arial" w:cs="Arial"/>
          <w:sz w:val="20"/>
          <w:szCs w:val="20"/>
          <w:lang w:val="es-GT"/>
        </w:rPr>
        <w:t xml:space="preserve">Elaboración propia. VI: variable independiente. VD: variable dependiente.</w:t>
      </w:r>
    </w:p>
    <w:p>
      <w:pPr>
        <w:keepNext/>
        <w:pageBreakBefore/>
        <w:spacing w:before="240" w:after="0" w:line="360" w:lineRule="auto"/>
        <w:jc w:val="center"/>
        <w:outlineLvl w:val="0"/>
        <w:rPr>
          <w:rFonts w:ascii="Arial" w:hAnsi="Arial" w:cs="Arial"/>
          <w:lang w:val="es-GT"/>
        </w:rPr>
      </w:pPr>
      <w:bookmarkStart w:id="205" w:name="_Toc800205"/>
      <w:r>
        <w:rPr>
          <w:rFonts w:ascii="Arial" w:hAnsi="Arial" w:cs="Arial"/>
          <w:b/>
          <w:sz w:val="28"/>
          <w:szCs w:val="28"/>
          <w:lang w:val="es-GT"/>
        </w:rPr>
        <w:t xml:space="preserve">REFERENCIAS</w:t>
      </w:r>
      <w:bookmarkEnd w:id="205"/>
    </w:p>
    <w:p>
      <w:pPr>
        <w:spacing w:before="0" w:after="0" w:line="360" w:lineRule="auto"/>
        <w:ind w:left="720" w:hanging="720"/>
        <w:jc w:val="left"/>
        <w:rPr>
          <w:rFonts w:ascii="Arial" w:hAnsi="Arial" w:cs="Arial"/>
          <w:lang w:val="es-GT"/>
        </w:rPr>
      </w:pPr>
      <w:r>
        <w:rPr>
          <w:rFonts w:ascii="Arial" w:hAnsi="Arial" w:cs="Arial"/>
          <w:sz w:val="24"/>
          <w:szCs w:val="24"/>
          <w:lang w:val="es-GT"/>
        </w:rPr>
        <w:t xml:space="preserve">Hernández-Sampieri, R., &amp; Mendoza Torres, C. P. (2018). </w:t>
      </w:r>
      <w:r>
        <w:rPr>
          <w:rFonts w:ascii="Arial" w:hAnsi="Arial" w:cs="Arial"/>
          <w:i/>
          <w:sz w:val="24"/>
          <w:szCs w:val="24"/>
          <w:lang w:val="es-GT"/>
        </w:rPr>
        <w:t xml:space="preserve">Metodología de la investigación: Las rutas cuantitativa, cualitativa y mixta</w:t>
      </w:r>
      <w:r>
        <w:rPr>
          <w:rFonts w:ascii="Arial" w:hAnsi="Arial" w:cs="Arial"/>
          <w:sz w:val="24"/>
          <w:szCs w:val="24"/>
          <w:lang w:val="es-GT"/>
        </w:rPr>
        <w:t xml:space="preserve">. McGraw-Hill.</w:t>
      </w:r>
    </w:p>
    <w:sectPr>
      <w:headerReference w:type="default" r:id="rIdHdrDef"/>
      <w:pgSz w:w="12240" w:h="15840"/>
      <w:pgMar w:top="1417" w:right="1417" w:bottom="1417" w:left="1984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headerDef.xml><?xml version="1.0" encoding="utf-8"?>
<w:hdr xmlns:w="http://schemas.openxmlformats.org/wordprocessingml/2006/main" xmlns:r="http://schemas.openxmlformats.org/officeDocument/2006/relationships">
  <w:p>
    <w:pPr>
      <w:jc w:val="right"/>
    </w:pPr>
    <w:r>
      <w:rPr>
        <w:rFonts w:ascii="Arial" w:hAnsi="Arial" w:cs="Arial"/>
        <w:sz w:val="24"/>
      </w:rPr>
      <w:fldChar w:fldCharType="begin"/>
    </w:r>
    <w:r>
      <w:rPr>
        <w:rFonts w:ascii="Arial" w:hAnsi="Arial" w:cs="Arial"/>
        <w:sz w:val="24"/>
      </w:rPr>
      <w:instrText xml:space="preserve"> PAGE </w:instrText>
    </w:r>
    <w:r>
      <w:rPr>
        <w:rFonts w:ascii="Arial" w:hAnsi="Arial" w:cs="Arial"/>
        <w:sz w:val="24"/>
      </w:rPr>
      <w:fldChar w:fldCharType="separate"/>
    </w:r>
    <w:r>
      <w:rPr>
        <w:rFonts w:ascii="Arial" w:hAnsi="Arial" w:cs="Arial"/>
        <w:sz w:val="24"/>
      </w:rPr>
      <w:t>1</w:t>
    </w:r>
    <w:r>
      <w:rPr>
        <w:rFonts w:ascii="Arial" w:hAnsi="Arial" w:cs="Arial"/>
        <w:sz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updateFields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482"/>
    <w:rsid w:val="00000A00"/>
    <w:rsid w:val="003643EF"/>
    <w:rsid w:val="009E5511"/>
    <w:rsid w:val="00C13482"/>
    <w:rsid w:val="00CC4DEE"/>
    <w:rsid w:val="00D14FAF"/>
    <w:rsid w:val="00E337AC"/>
    <w:rsid w:val="00F94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1E7F58B"/>
  <w15:chartTrackingRefBased/>
  <w15:docId w15:val="{583A3E94-8909-4E7D-B1CD-361CDD91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3482"/>
    <w:pPr>
      <w:spacing w:line="259" w:lineRule="auto"/>
    </w:pPr>
    <w:rPr>
      <w:kern w:val="0"/>
      <w:sz w:val="22"/>
      <w:szCs w:val="22"/>
      <w:lang w:val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C1348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1348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1348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1348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1348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1348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1348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1348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1348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34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134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134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134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1348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134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1348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134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134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134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C134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1348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C134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13482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C1348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13482"/>
    <w:pPr>
      <w:spacing w:line="278" w:lineRule="auto"/>
      <w:ind w:left="720"/>
      <w:contextualSpacing/>
    </w:pPr>
    <w:rPr>
      <w:kern w:val="2"/>
      <w:sz w:val="24"/>
      <w:szCs w:val="24"/>
      <w:lang w:val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C1348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134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1348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134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HdrDef" Type="http://schemas.openxmlformats.org/officeDocument/2006/relationships/header" Target="headerDef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123</Words>
  <Characters>678</Characters>
  <Application>Microsoft Office Word</Application>
  <DocSecurity>0</DocSecurity>
  <Lines>5</Lines>
  <Paragraphs>1</Paragraphs>
  <ScaleCrop>false</ScaleCrop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Efecto de los controles de verificación al cliente sobre la diferencia entre el monto autorizado y el monto recibido en los desembolsos de créditos por billetera digital de una institución microfinanciera de Guatemala, 2027</dc:title>
  <dc:subject/>
  <dc:creator>Gerbert David García Loaiza</dc:creator>
  <cp:keywords/>
  <dc:description/>
  <cp:lastModifiedBy>Ericka Fuentes</cp:lastModifiedBy>
  <cp:revision>2</cp:revision>
  <dcterms:created xsi:type="dcterms:W3CDTF">2025-07-06T16:12:00Z</dcterms:created>
  <dcterms:modified xsi:type="dcterms:W3CDTF">2025-07-06T16:12:00Z</dcterms:modified>
</cp:coreProperties>
</file>