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Def.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8A208" w14:textId="77777777" w:rsidR="00C13482" w:rsidRPr="009A1B6B" w:rsidRDefault="00C13482" w:rsidP="00C13482">
      <w:pPr>
        <w:widowControl w:val="0"/>
        <w:autoSpaceDE w:val="0"/>
        <w:autoSpaceDN w:val="0"/>
        <w:spacing w:after="0" w:line="240" w:lineRule="auto"/>
        <w:ind w:left="402"/>
        <w:jc w:val="both"/>
        <w:rPr>
          <w:rFonts w:ascii="Times New Roman" w:eastAsia="Times New Roman" w:hAnsi="Times New Roman" w:cs="Times New Roman"/>
          <w:b/>
          <w:sz w:val="48"/>
          <w:szCs w:val="48"/>
          <w:lang w:eastAsia="es-PE" w:bidi="es-PE"/>
        </w:rPr>
      </w:pPr>
      <w:r>
        <w:rPr>
          <w:rFonts w:ascii="Times New Roman" w:eastAsia="Times New Roman" w:hAnsi="Times New Roman" w:cs="Times New Roman"/>
          <w:b/>
          <w:noProof/>
          <w:sz w:val="48"/>
          <w:szCs w:val="48"/>
          <w:lang w:eastAsia="es-PE" w:bidi="es-PE"/>
        </w:rPr>
        <w:drawing>
          <wp:anchor distT="0" distB="0" distL="114300" distR="114300" simplePos="0" relativeHeight="251659264" behindDoc="0" locked="0" layoutInCell="1" allowOverlap="1" wp14:anchorId="1228446A" wp14:editId="4ABB6FC9">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52CE5C5" w14:textId="79C240E4"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UNIVERSIDAD MARIANO</w:t>
      </w:r>
      <w:r>
        <w:rPr>
          <w:rFonts w:ascii="Times New Roman" w:eastAsia="Times New Roman" w:hAnsi="Times New Roman" w:cs="Times New Roman"/>
          <w:b/>
          <w:sz w:val="48"/>
          <w:szCs w:val="48"/>
          <w:lang w:eastAsia="es-PE" w:bidi="es-PE"/>
        </w:rPr>
        <w:t xml:space="preserve"> </w:t>
      </w:r>
      <w:r>
        <w:rPr>
          <w:rFonts w:ascii="Times New Roman" w:eastAsia="Times New Roman" w:hAnsi="Times New Roman" w:cs="Times New Roman"/>
          <w:b/>
          <w:sz w:val="48"/>
          <w:szCs w:val="48"/>
          <w:lang w:eastAsia="es-PE" w:bidi="es-PE"/>
        </w:rPr>
        <w:tab/>
      </w:r>
    </w:p>
    <w:p w14:paraId="3677A0BE" w14:textId="2C406D6E" w:rsidR="00C13482" w:rsidRPr="009A1B6B" w:rsidRDefault="00C13482" w:rsidP="00C13482">
      <w:pPr>
        <w:widowControl w:val="0"/>
        <w:autoSpaceDE w:val="0"/>
        <w:autoSpaceDN w:val="0"/>
        <w:spacing w:after="0" w:line="240" w:lineRule="auto"/>
        <w:jc w:val="right"/>
        <w:rPr>
          <w:rFonts w:ascii="Times New Roman" w:eastAsia="Times New Roman" w:hAnsi="Times New Roman" w:cs="Times New Roman"/>
          <w:b/>
          <w:sz w:val="48"/>
          <w:szCs w:val="48"/>
          <w:lang w:eastAsia="es-PE" w:bidi="es-PE"/>
        </w:rPr>
      </w:pPr>
      <w:r w:rsidRPr="009A1B6B">
        <w:rPr>
          <w:rFonts w:ascii="Times New Roman" w:eastAsia="Times New Roman" w:hAnsi="Times New Roman" w:cs="Times New Roman"/>
          <w:b/>
          <w:sz w:val="48"/>
          <w:szCs w:val="48"/>
          <w:lang w:eastAsia="es-PE" w:bidi="es-PE"/>
        </w:rPr>
        <w:t>GÁLVEZ DE GUATEMALA</w:t>
      </w:r>
      <w:r>
        <w:rPr>
          <w:rFonts w:ascii="Times New Roman" w:eastAsia="Times New Roman" w:hAnsi="Times New Roman" w:cs="Times New Roman"/>
          <w:b/>
          <w:sz w:val="48"/>
          <w:szCs w:val="48"/>
          <w:lang w:eastAsia="es-PE" w:bidi="es-PE"/>
        </w:rPr>
        <w:tab/>
      </w:r>
    </w:p>
    <w:p w14:paraId="265E5B43" w14:textId="77777777" w:rsidR="00C13482" w:rsidRPr="00A0471F" w:rsidRDefault="00C13482" w:rsidP="00C13482">
      <w:pPr>
        <w:widowControl w:val="0"/>
        <w:autoSpaceDE w:val="0"/>
        <w:autoSpaceDN w:val="0"/>
        <w:spacing w:after="0" w:line="360" w:lineRule="auto"/>
        <w:jc w:val="both"/>
        <w:rPr>
          <w:rFonts w:ascii="Times New Roman" w:eastAsia="Times New Roman" w:hAnsi="Times New Roman" w:cs="Times New Roman"/>
          <w:b/>
          <w:sz w:val="24"/>
          <w:lang w:eastAsia="es-PE" w:bidi="es-PE"/>
        </w:rPr>
      </w:pPr>
    </w:p>
    <w:p w14:paraId="040899D7" w14:textId="77777777" w:rsidR="00C13482" w:rsidRPr="00A0471F"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p>
    <w:p w14:paraId="5902720B" w14:textId="77777777" w:rsidR="00C13482" w:rsidRDefault="00C13482" w:rsidP="00C13482">
      <w:pPr>
        <w:spacing w:after="0"/>
        <w:ind w:left="10" w:right="39" w:hanging="10"/>
        <w:jc w:val="center"/>
        <w:rPr>
          <w:rFonts w:ascii="Times New Roman" w:eastAsia="Times New Roman" w:hAnsi="Times New Roman" w:cs="Times New Roman"/>
          <w:b/>
          <w:color w:val="000000"/>
          <w:sz w:val="36"/>
          <w:szCs w:val="36"/>
          <w:lang w:eastAsia="es-PE"/>
        </w:rPr>
      </w:pPr>
      <w:r w:rsidRPr="00A0471F">
        <w:rPr>
          <w:rFonts w:ascii="Times New Roman" w:eastAsia="Times New Roman" w:hAnsi="Times New Roman" w:cs="Times New Roman"/>
          <w:b/>
          <w:color w:val="000000"/>
          <w:sz w:val="36"/>
          <w:szCs w:val="36"/>
          <w:lang w:eastAsia="es-PE"/>
        </w:rPr>
        <w:t>FACULTAD DE</w:t>
      </w:r>
      <w:r>
        <w:rPr>
          <w:rFonts w:ascii="Times New Roman" w:eastAsia="Times New Roman" w:hAnsi="Times New Roman" w:cs="Times New Roman"/>
          <w:b/>
          <w:color w:val="000000"/>
          <w:sz w:val="36"/>
          <w:szCs w:val="36"/>
          <w:lang w:eastAsia="es-PE"/>
        </w:rPr>
        <w:t xml:space="preserve"> INGENIERÍA EN SISTEMAS DE INFORMACIÓN</w:t>
      </w:r>
    </w:p>
    <w:p w14:paraId="58884413"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7EA85F2C"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PROGRAMA DE POSGRADOS</w:t>
      </w:r>
    </w:p>
    <w:p w14:paraId="77E1B72B"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20B81370" w14:textId="77777777"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TRABAJO FINAL /</w:t>
      </w:r>
      <w:r w:rsidRPr="00A0471F">
        <w:rPr>
          <w:rFonts w:ascii="Times New Roman" w:eastAsia="Times New Roman" w:hAnsi="Times New Roman" w:cs="Times New Roman"/>
          <w:b/>
          <w:color w:val="000000"/>
          <w:sz w:val="32"/>
          <w:szCs w:val="32"/>
          <w:lang w:eastAsia="es-PE"/>
        </w:rPr>
        <w:t>PROYECTO DE INVESTIGACIÓN</w:t>
      </w:r>
    </w:p>
    <w:p w14:paraId="1DE67892"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451FC87E" w14:textId="77777777" w:rsidR="00C13482" w:rsidRPr="00A0471F" w:rsidRDefault="00C13482" w:rsidP="00C13482">
      <w:pPr>
        <w:spacing w:after="0"/>
        <w:ind w:left="10" w:right="41" w:hanging="10"/>
        <w:jc w:val="center"/>
        <w:rPr>
          <w:rFonts w:ascii="Times New Roman" w:eastAsia="Times New Roman" w:hAnsi="Times New Roman" w:cs="Times New Roman"/>
          <w:b/>
          <w:color w:val="000000"/>
          <w:sz w:val="28"/>
          <w:szCs w:val="28"/>
          <w:lang w:eastAsia="es-PE"/>
        </w:rPr>
      </w:pPr>
      <w:r w:rsidRPr="00A0471F">
        <w:rPr>
          <w:rFonts w:ascii="Times New Roman" w:eastAsia="Times New Roman" w:hAnsi="Times New Roman" w:cs="Times New Roman"/>
          <w:b/>
          <w:color w:val="000000"/>
          <w:sz w:val="28"/>
          <w:szCs w:val="28"/>
          <w:lang w:eastAsia="es-PE"/>
        </w:rPr>
        <w:t xml:space="preserve">ANÁLISIS DE LAS VULNERABILIDADES EN LOS MECANISMOS DE AUTENTICACIÓN, AUTORIZACIÓN Y VALIDACIÓN DEL CONSENTIMIENTO Y SU RELACIÓN CON EL RIESGO DE OPERACIONES NO CONSENTIDAS EN EL DESEMBOLSO DE CRÉDITOS MEDIANTE BILLETERAS DIGITALES EN GUATEMALA</w:t>
      </w:r>
    </w:p>
    <w:p w14:paraId="6B935E51" w14:textId="77777777" w:rsidR="00C13482" w:rsidRPr="00A0471F" w:rsidRDefault="00C13482" w:rsidP="00C13482">
      <w:pPr>
        <w:spacing w:before="240" w:after="0"/>
        <w:ind w:left="10" w:right="38"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Autor (es): </w:t>
      </w:r>
    </w:p>
    <w:p w14:paraId="0F96316E" w14:textId="77777777" w:rsidR="00C13482" w:rsidRPr="00BF2264" w:rsidRDefault="00C13482" w:rsidP="00C13482">
      <w:pPr>
        <w:spacing w:after="0"/>
        <w:ind w:left="10" w:right="38" w:hanging="10"/>
        <w:jc w:val="center"/>
        <w:rPr>
          <w:rFonts w:ascii="Times New Roman" w:eastAsia="Times New Roman" w:hAnsi="Times New Roman" w:cs="Times New Roman"/>
          <w:b/>
          <w:color w:val="000000"/>
          <w:sz w:val="24"/>
          <w:szCs w:val="24"/>
          <w:lang w:eastAsia="es-PE"/>
        </w:rPr>
      </w:pPr>
      <w:r w:rsidRPr="00BF2264">
        <w:rPr>
          <w:rFonts w:ascii="Times New Roman" w:eastAsia="Times New Roman" w:hAnsi="Times New Roman" w:cs="Times New Roman"/>
          <w:b/>
          <w:color w:val="000000"/>
          <w:sz w:val="24"/>
          <w:szCs w:val="24"/>
          <w:lang w:eastAsia="es-PE"/>
        </w:rPr>
        <w:t xml:space="preserve">Suruy Quiróa, Anderson Lionel - asuruyq1@miumg.edu.gt</w:t>
      </w:r>
    </w:p>
    <w:p w:rsidR="00C13482" w:rsidRPr="00BF2264" w:rsidRDefault="00C13482" w:rsidP="00C13482">
      <w:pPr>
        <w:spacing w:after="0"/>
        <w:ind w:left="10" w:right="38" w:hanging="10"/>
        <w:jc w:val="center"/>
        <w:rPr>
          <w:rFonts w:ascii="Times New Roman" w:eastAsia="Times New Roman" w:hAnsi="Times New Roman" w:cs="Times New Roman"/>
          <w:b/>
          <w:color w:val="000000"/>
          <w:sz w:val="24"/>
          <w:szCs w:val="24"/>
          <w:lang w:eastAsia="es-PE"/>
        </w:rPr>
      </w:pPr>
      <w:r w:rsidRPr="00BF2264">
        <w:rPr>
          <w:rFonts w:ascii="Times New Roman" w:eastAsia="Times New Roman" w:hAnsi="Times New Roman" w:cs="Times New Roman"/>
          <w:b/>
          <w:color w:val="000000"/>
          <w:sz w:val="24"/>
          <w:szCs w:val="24"/>
          <w:lang w:eastAsia="es-PE"/>
        </w:rPr>
        <w:t xml:space="preserve">Aldana Estrada, José David - jaldanae4@miumg.edu.gt</w:t>
      </w:r>
    </w:p>
    <w:p w:rsidR="00C13482" w:rsidRPr="00BF2264" w:rsidRDefault="00C13482" w:rsidP="00C13482">
      <w:pPr>
        <w:spacing w:after="0"/>
        <w:ind w:left="10" w:right="38" w:hanging="10"/>
        <w:jc w:val="center"/>
        <w:rPr>
          <w:rFonts w:ascii="Times New Roman" w:eastAsia="Times New Roman" w:hAnsi="Times New Roman" w:cs="Times New Roman"/>
          <w:b/>
          <w:color w:val="000000"/>
          <w:sz w:val="24"/>
          <w:szCs w:val="24"/>
          <w:lang w:eastAsia="es-PE"/>
        </w:rPr>
      </w:pPr>
      <w:r w:rsidRPr="00BF2264">
        <w:rPr>
          <w:rFonts w:ascii="Times New Roman" w:eastAsia="Times New Roman" w:hAnsi="Times New Roman" w:cs="Times New Roman"/>
          <w:b/>
          <w:color w:val="000000"/>
          <w:sz w:val="24"/>
          <w:szCs w:val="24"/>
          <w:lang w:eastAsia="es-PE"/>
        </w:rPr>
        <w:t xml:space="preserve">Alvarez Barrientos, Andersson Saúl - aalvarezb8@miumg.edu.gt</w:t>
      </w:r>
    </w:p>
    <w:p w:rsidR="00C13482" w:rsidRPr="00BF2264" w:rsidRDefault="00C13482" w:rsidP="00C13482">
      <w:pPr>
        <w:spacing w:after="0"/>
        <w:ind w:left="10" w:right="38" w:hanging="10"/>
        <w:jc w:val="center"/>
        <w:rPr>
          <w:rFonts w:ascii="Times New Roman" w:eastAsia="Times New Roman" w:hAnsi="Times New Roman" w:cs="Times New Roman"/>
          <w:b/>
          <w:color w:val="000000"/>
          <w:sz w:val="24"/>
          <w:szCs w:val="24"/>
          <w:lang w:eastAsia="es-PE"/>
        </w:rPr>
      </w:pPr>
      <w:r w:rsidRPr="00BF2264">
        <w:rPr>
          <w:rFonts w:ascii="Times New Roman" w:eastAsia="Times New Roman" w:hAnsi="Times New Roman" w:cs="Times New Roman"/>
          <w:b/>
          <w:color w:val="000000"/>
          <w:sz w:val="24"/>
          <w:szCs w:val="24"/>
          <w:lang w:eastAsia="es-PE"/>
        </w:rPr>
        <w:t xml:space="preserve">García Loaiza, Gerbert David - ggarcial17@miumg.edu.gt</w:t>
      </w:r>
    </w:p>
    <w:p w14:paraId="78779E99" w14:textId="073265DF" w:rsidR="00C13482" w:rsidRPr="00A0471F" w:rsidRDefault="00C13482" w:rsidP="00C13482">
      <w:pPr>
        <w:spacing w:before="240" w:after="0"/>
        <w:ind w:left="10" w:right="34" w:hanging="10"/>
        <w:jc w:val="center"/>
        <w:rPr>
          <w:rFonts w:ascii="Times New Roman" w:eastAsia="Times New Roman" w:hAnsi="Times New Roman" w:cs="Times New Roman"/>
          <w:b/>
          <w:color w:val="000000"/>
          <w:sz w:val="34"/>
          <w:szCs w:val="34"/>
          <w:lang w:eastAsia="es-PE"/>
        </w:rPr>
      </w:pPr>
      <w:r>
        <w:rPr>
          <w:rFonts w:ascii="Times New Roman" w:eastAsia="Times New Roman" w:hAnsi="Times New Roman" w:cs="Times New Roman"/>
          <w:b/>
          <w:color w:val="000000"/>
          <w:sz w:val="34"/>
          <w:szCs w:val="34"/>
          <w:lang w:eastAsia="es-PE"/>
        </w:rPr>
        <w:t>Profesor</w:t>
      </w:r>
      <w:r w:rsidRPr="00A0471F">
        <w:rPr>
          <w:rFonts w:ascii="Times New Roman" w:eastAsia="Times New Roman" w:hAnsi="Times New Roman" w:cs="Times New Roman"/>
          <w:b/>
          <w:color w:val="000000"/>
          <w:sz w:val="34"/>
          <w:szCs w:val="34"/>
          <w:lang w:eastAsia="es-PE"/>
        </w:rPr>
        <w:t xml:space="preserve"> </w:t>
      </w:r>
    </w:p>
    <w:p w14:paraId="200C4241" w14:textId="77777777" w:rsidR="00C13482" w:rsidRPr="00A0471F" w:rsidRDefault="00C13482" w:rsidP="00C13482">
      <w:pPr>
        <w:spacing w:after="0"/>
        <w:ind w:left="10" w:right="33" w:hanging="10"/>
        <w:jc w:val="center"/>
        <w:rPr>
          <w:rFonts w:ascii="Times New Roman" w:eastAsia="Times New Roman" w:hAnsi="Times New Roman" w:cs="Times New Roman"/>
          <w:b/>
          <w:color w:val="000000"/>
          <w:sz w:val="34"/>
          <w:szCs w:val="34"/>
          <w:lang w:eastAsia="es-PE"/>
        </w:rPr>
      </w:pPr>
      <w:r w:rsidRPr="00A0471F">
        <w:rPr>
          <w:rFonts w:ascii="Times New Roman" w:eastAsia="Times New Roman" w:hAnsi="Times New Roman" w:cs="Times New Roman"/>
          <w:b/>
          <w:color w:val="000000"/>
          <w:sz w:val="34"/>
          <w:szCs w:val="34"/>
          <w:lang w:eastAsia="es-PE"/>
        </w:rPr>
        <w:t xml:space="preserve">Ing. Buratti Aldana, Albino Cesare</w:t>
      </w:r>
    </w:p>
    <w:p w14:paraId="3CFAD025" w14:textId="77777777" w:rsidR="00C13482" w:rsidRPr="00A0471F" w:rsidRDefault="00C13482" w:rsidP="00C13482">
      <w:pPr>
        <w:spacing w:after="0"/>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6A0208A7" w14:textId="071A5C26" w:rsidR="00C13482" w:rsidRPr="00A0471F" w:rsidRDefault="00C13482" w:rsidP="00C13482">
      <w:pPr>
        <w:spacing w:after="0"/>
        <w:ind w:left="10" w:right="38" w:hanging="10"/>
        <w:jc w:val="center"/>
        <w:rPr>
          <w:rFonts w:ascii="Times New Roman" w:eastAsia="Times New Roman" w:hAnsi="Times New Roman" w:cs="Times New Roman"/>
          <w:b/>
          <w:color w:val="000000"/>
          <w:sz w:val="32"/>
          <w:szCs w:val="32"/>
          <w:lang w:eastAsia="es-PE"/>
        </w:rPr>
      </w:pPr>
      <w:r>
        <w:rPr>
          <w:rFonts w:ascii="Times New Roman" w:eastAsia="Times New Roman" w:hAnsi="Times New Roman" w:cs="Times New Roman"/>
          <w:b/>
          <w:color w:val="000000"/>
          <w:sz w:val="32"/>
          <w:szCs w:val="32"/>
          <w:lang w:eastAsia="es-PE"/>
        </w:rPr>
        <w:t>Curso</w:t>
      </w:r>
    </w:p>
    <w:p w14:paraId="6B12D17F" w14:textId="4AA41849" w:rsidR="00C13482" w:rsidRPr="00A0471F" w:rsidRDefault="00C13482" w:rsidP="00C13482">
      <w:pPr>
        <w:spacing w:after="5" w:line="248" w:lineRule="auto"/>
        <w:ind w:right="30" w:hanging="10"/>
        <w:jc w:val="center"/>
        <w:rPr>
          <w:rFonts w:ascii="Times New Roman" w:eastAsia="Times New Roman" w:hAnsi="Times New Roman" w:cs="Times New Roman"/>
          <w:b/>
          <w:color w:val="000000"/>
          <w:sz w:val="32"/>
          <w:szCs w:val="32"/>
          <w:lang w:eastAsia="es-PE"/>
        </w:rPr>
      </w:pPr>
      <w:r w:rsidRPr="00A0471F">
        <w:rPr>
          <w:rFonts w:ascii="Times New Roman" w:eastAsia="Times New Roman" w:hAnsi="Times New Roman" w:cs="Times New Roman"/>
          <w:b/>
          <w:color w:val="000000"/>
          <w:sz w:val="32"/>
          <w:szCs w:val="32"/>
          <w:lang w:eastAsia="es-PE"/>
        </w:rPr>
        <w:t xml:space="preserve">Proyecto de Investigación I - 2026</w:t>
      </w:r>
    </w:p>
    <w:p w14:paraId="199B97FA" w14:textId="77777777" w:rsidR="00C13482" w:rsidRPr="00A0471F" w:rsidRDefault="00C13482" w:rsidP="00C13482">
      <w:pPr>
        <w:spacing w:after="0"/>
        <w:ind w:left="21"/>
        <w:jc w:val="center"/>
        <w:rPr>
          <w:rFonts w:ascii="Times New Roman" w:eastAsia="Times New Roman" w:hAnsi="Times New Roman" w:cs="Times New Roman"/>
          <w:color w:val="000000"/>
          <w:sz w:val="24"/>
          <w:lang w:eastAsia="es-PE"/>
        </w:rPr>
      </w:pPr>
      <w:r w:rsidRPr="00A0471F">
        <w:rPr>
          <w:rFonts w:ascii="Times New Roman" w:eastAsia="Times New Roman" w:hAnsi="Times New Roman" w:cs="Times New Roman"/>
          <w:color w:val="000000"/>
          <w:sz w:val="24"/>
          <w:lang w:eastAsia="es-PE"/>
        </w:rPr>
        <w:t xml:space="preserve"> </w:t>
      </w:r>
    </w:p>
    <w:p w14:paraId="128816E5" w14:textId="77777777" w:rsidR="00C13482" w:rsidRPr="00A0471F" w:rsidRDefault="00C13482" w:rsidP="00C13482">
      <w:pPr>
        <w:spacing w:after="0"/>
        <w:ind w:left="10" w:right="37" w:hanging="10"/>
        <w:jc w:val="center"/>
        <w:rPr>
          <w:rFonts w:ascii="Times New Roman" w:eastAsia="Times New Roman" w:hAnsi="Times New Roman" w:cs="Times New Roman"/>
          <w:b/>
          <w:color w:val="000000"/>
          <w:sz w:val="28"/>
          <w:szCs w:val="28"/>
          <w:lang w:eastAsia="es-PE"/>
        </w:rPr>
      </w:pPr>
      <w:r>
        <w:rPr>
          <w:rFonts w:ascii="Times New Roman" w:eastAsia="Times New Roman" w:hAnsi="Times New Roman" w:cs="Times New Roman"/>
          <w:b/>
          <w:color w:val="000000"/>
          <w:sz w:val="28"/>
          <w:szCs w:val="28"/>
          <w:lang w:eastAsia="es-PE"/>
        </w:rPr>
        <w:t xml:space="preserve">Guatemala, octubre de 2026</w:t>
      </w:r>
    </w:p>
    <w:p>
      <w:pPr>
        <w:sectPr>
          <w:pgSz w:w="12240" w:h="15840"/>
          <w:pgMar w:top="1417" w:right="1417" w:bottom="1417" w:left="1984" w:header="720" w:footer="720" w:gutter="0"/>
          <w:cols w:space="720"/>
          <w:docGrid w:linePitch="360"/>
        </w:sectPr>
      </w:pPr>
    </w:p>
    <w:p>
      <w:pPr>
        <w:spacing w:before="0" w:after="0" w:line="360" w:lineRule="auto"/>
        <w:jc w:val="center"/>
        <w:rPr>
          <w:rFonts w:ascii="Arial" w:hAnsi="Arial" w:cs="Arial"/>
          <w:lang w:val="es-GT"/>
        </w:rPr>
      </w:pPr>
      <w:r>
        <w:rPr>
          <w:rFonts w:ascii="Arial" w:hAnsi="Arial" w:cs="Arial"/>
          <w:b/>
          <w:sz w:val="24"/>
          <w:szCs w:val="24"/>
          <w:lang w:val="es-GT"/>
        </w:rPr>
        <w:t xml:space="preserve">Tabla de contenido</w:t>
      </w:r>
    </w:p>
    <w:p>
      <w:pPr>
        <w:tabs>
          <w:tab w:val="right" w:leader="dot" w:pos="8830"/>
        </w:tabs>
        <w:spacing w:before="0" w:after="60" w:line="276" w:lineRule="auto"/>
        <w:jc w:val="left"/>
      </w:pPr>
      <w:r>
        <w:fldChar w:fldCharType="begin"/>
      </w:r>
      <w:r>
        <w:instrText xml:space="preserve">TOC \o "1-2" \h \z \u</w:instrText>
      </w:r>
      <w:r>
        <w:fldChar w:fldCharType="separate"/>
      </w:r>
      <w:hyperlink w:anchor="_Toc800201" w:history="1">
        <w:r>
          <w:rPr>
            <w:rFonts w:ascii="Arial" w:hAnsi="Arial" w:cs="Arial"/>
            <w:b/>
            <w:sz w:val="24"/>
            <w:szCs w:val="24"/>
            <w:lang w:val="es-GT"/>
          </w:rPr>
          <w:t xml:space="preserve">RESUMEN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_Toc800201 \h </w:instrText>
        </w:r>
        <w:r>
          <w:rPr>
            <w:rFonts w:ascii="Arial" w:hAnsi="Arial" w:cs="Arial"/>
            <w:b/>
            <w:sz w:val="24"/>
            <w:szCs w:val="24"/>
            <w:lang w:val="es-GT"/>
          </w:rPr>
          <w:fldChar w:fldCharType="separate"/>
        </w:r>
        <w:r>
          <w:rPr>
            <w:rFonts w:ascii="Arial" w:hAnsi="Arial" w:cs="Arial"/>
            <w:b/>
            <w:sz w:val="24"/>
            <w:szCs w:val="24"/>
            <w:lang w:val="es-GT"/>
          </w:rPr>
          <w:t>1</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2" w:history="1">
        <w:r>
          <w:rPr>
            <w:rFonts w:ascii="Arial" w:hAnsi="Arial" w:cs="Arial"/>
            <w:b/>
            <w:sz w:val="24"/>
            <w:szCs w:val="24"/>
            <w:lang w:val="es-GT"/>
          </w:rPr>
          <w:t xml:space="preserve">INTRODUCCIÓN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_Toc800202 \h </w:instrText>
        </w:r>
        <w:r>
          <w:rPr>
            <w:rFonts w:ascii="Arial" w:hAnsi="Arial" w:cs="Arial"/>
            <w:b/>
            <w:sz w:val="24"/>
            <w:szCs w:val="24"/>
            <w:lang w:val="es-GT"/>
          </w:rPr>
          <w:fldChar w:fldCharType="separate"/>
        </w:r>
        <w:r>
          <w:rPr>
            <w:rFonts w:ascii="Arial" w:hAnsi="Arial" w:cs="Arial"/>
            <w:b/>
            <w:sz w:val="24"/>
            <w:szCs w:val="24"/>
            <w:lang w:val="es-GT"/>
          </w:rPr>
          <w:t>2</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3" w:history="1">
        <w:r>
          <w:rPr>
            <w:rFonts w:ascii="Arial" w:hAnsi="Arial" w:cs="Arial"/>
            <w:b/>
            <w:sz w:val="24"/>
            <w:szCs w:val="24"/>
            <w:lang w:val="es-GT"/>
          </w:rPr>
          <w:t xml:space="preserve">JUSTIFICACIÓN</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_Toc800203 \h </w:instrText>
        </w:r>
        <w:r>
          <w:rPr>
            <w:rFonts w:ascii="Arial" w:hAnsi="Arial" w:cs="Arial"/>
            <w:b/>
            <w:sz w:val="24"/>
            <w:szCs w:val="24"/>
            <w:lang w:val="es-GT"/>
          </w:rPr>
          <w:fldChar w:fldCharType="separate"/>
        </w:r>
        <w:r>
          <w:rPr>
            <w:rFonts w:ascii="Arial" w:hAnsi="Arial" w:cs="Arial"/>
            <w:b/>
            <w:sz w:val="24"/>
            <w:szCs w:val="24"/>
            <w:lang w:val="es-GT"/>
          </w:rPr>
          <w:t>3</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4" w:history="1">
        <w:r>
          <w:rPr>
            <w:rFonts w:ascii="Arial" w:hAnsi="Arial" w:cs="Arial"/>
            <w:b/>
            <w:sz w:val="24"/>
            <w:szCs w:val="24"/>
            <w:lang w:val="es-GT"/>
          </w:rPr>
          <w:t xml:space="preserve">MARCO TEÓRICO</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_Toc800204 \h </w:instrText>
        </w:r>
        <w:r>
          <w:rPr>
            <w:rFonts w:ascii="Arial" w:hAnsi="Arial" w:cs="Arial"/>
            <w:b/>
            <w:sz w:val="24"/>
            <w:szCs w:val="24"/>
            <w:lang w:val="es-GT"/>
          </w:rPr>
          <w:fldChar w:fldCharType="separate"/>
        </w:r>
        <w:r>
          <w:rPr>
            <w:rFonts w:ascii="Arial" w:hAnsi="Arial" w:cs="Arial"/>
            <w:b/>
            <w:sz w:val="24"/>
            <w:szCs w:val="24"/>
            <w:lang w:val="es-GT"/>
          </w:rPr>
          <w:t>4</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05" w:history="1">
        <w:r>
          <w:rPr>
            <w:rFonts w:ascii="Arial" w:hAnsi="Arial" w:cs="Arial"/>
            <w:b/>
            <w:sz w:val="24"/>
            <w:szCs w:val="24"/>
            <w:lang w:val="es-GT"/>
          </w:rPr>
          <w:t xml:space="preserve">CONTENIDO</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_Toc800205 \h </w:instrText>
        </w:r>
        <w:r>
          <w:rPr>
            <w:rFonts w:ascii="Arial" w:hAnsi="Arial" w:cs="Arial"/>
            <w:b/>
            <w:sz w:val="24"/>
            <w:szCs w:val="24"/>
            <w:lang w:val="es-GT"/>
          </w:rPr>
          <w:fldChar w:fldCharType="separate"/>
        </w:r>
        <w:r>
          <w:rPr>
            <w:rFonts w:ascii="Arial" w:hAnsi="Arial" w:cs="Arial"/>
            <w:b/>
            <w:sz w:val="24"/>
            <w:szCs w:val="24"/>
            <w:lang w:val="es-GT"/>
          </w:rPr>
          <w:t>5</w:t>
        </w:r>
        <w:r>
          <w:rPr>
            <w:rFonts w:ascii="Arial" w:hAnsi="Arial" w:cs="Arial"/>
            <w:b/>
            <w:sz w:val="24"/>
            <w:szCs w:val="24"/>
            <w:lang w:val="es-GT"/>
          </w:rPr>
          <w:fldChar w:fldCharType="end"/>
        </w:r>
      </w:hyperlink>
    </w:p>
    <w:p>
      <w:pPr>
        <w:tabs>
          <w:tab w:val="right" w:leader="dot" w:pos="8830"/>
        </w:tabs>
        <w:spacing w:before="0" w:after="60" w:line="276" w:lineRule="auto"/>
        <w:ind w:left="440"/>
        <w:jc w:val="left"/>
      </w:pPr>
      <w:hyperlink w:anchor="_Toc800206" w:history="1">
        <w:r>
          <w:rPr>
            <w:rFonts w:ascii="Arial" w:hAnsi="Arial" w:cs="Arial"/>
            <w:sz w:val="24"/>
            <w:szCs w:val="24"/>
            <w:lang w:val="es-GT"/>
          </w:rPr>
          <w:t xml:space="preserve">Parte 1. Desarrollo del tema de investigación</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_Toc800206 \h </w:instrText>
        </w:r>
        <w:r>
          <w:rPr>
            <w:rFonts w:ascii="Arial" w:hAnsi="Arial" w:cs="Arial"/>
            <w:sz w:val="24"/>
            <w:szCs w:val="24"/>
            <w:lang w:val="es-GT"/>
          </w:rPr>
          <w:fldChar w:fldCharType="separate"/>
        </w:r>
        <w:r>
          <w:rPr>
            <w:rFonts w:ascii="Arial" w:hAnsi="Arial" w:cs="Arial"/>
            <w:sz w:val="24"/>
            <w:szCs w:val="24"/>
            <w:lang w:val="es-GT"/>
          </w:rPr>
          <w:t>5</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7" w:history="1">
        <w:r>
          <w:rPr>
            <w:rFonts w:ascii="Arial" w:hAnsi="Arial" w:cs="Arial"/>
            <w:sz w:val="24"/>
            <w:szCs w:val="24"/>
            <w:lang w:val="es-GT"/>
          </w:rPr>
          <w:t xml:space="preserve">Parte 2. Hipótesis de investigación</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_Toc800207 \h </w:instrText>
        </w:r>
        <w:r>
          <w:rPr>
            <w:rFonts w:ascii="Arial" w:hAnsi="Arial" w:cs="Arial"/>
            <w:sz w:val="24"/>
            <w:szCs w:val="24"/>
            <w:lang w:val="es-GT"/>
          </w:rPr>
          <w:fldChar w:fldCharType="separate"/>
        </w:r>
        <w:r>
          <w:rPr>
            <w:rFonts w:ascii="Arial" w:hAnsi="Arial" w:cs="Arial"/>
            <w:sz w:val="24"/>
            <w:szCs w:val="24"/>
            <w:lang w:val="es-GT"/>
          </w:rPr>
          <w:t>6</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8" w:history="1">
        <w:r>
          <w:rPr>
            <w:rFonts w:ascii="Arial" w:hAnsi="Arial" w:cs="Arial"/>
            <w:sz w:val="24"/>
            <w:szCs w:val="24"/>
            <w:lang w:val="es-GT"/>
          </w:rPr>
          <w:t xml:space="preserve">Parte 3. Operacionalización de las variables</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_Toc800208 \h </w:instrText>
        </w:r>
        <w:r>
          <w:rPr>
            <w:rFonts w:ascii="Arial" w:hAnsi="Arial" w:cs="Arial"/>
            <w:sz w:val="24"/>
            <w:szCs w:val="24"/>
            <w:lang w:val="es-GT"/>
          </w:rPr>
          <w:fldChar w:fldCharType="separate"/>
        </w:r>
        <w:r>
          <w:rPr>
            <w:rFonts w:ascii="Arial" w:hAnsi="Arial" w:cs="Arial"/>
            <w:sz w:val="24"/>
            <w:szCs w:val="24"/>
            <w:lang w:val="es-GT"/>
          </w:rPr>
          <w:t>7</w:t>
        </w:r>
        <w:r>
          <w:rPr>
            <w:rFonts w:ascii="Arial" w:hAnsi="Arial" w:cs="Arial"/>
            <w:sz w:val="24"/>
            <w:szCs w:val="24"/>
            <w:lang w:val="es-GT"/>
          </w:rPr>
          <w:fldChar w:fldCharType="end"/>
        </w:r>
      </w:hyperlink>
    </w:p>
    <w:p>
      <w:pPr>
        <w:tabs>
          <w:tab w:val="right" w:leader="dot" w:pos="8830"/>
        </w:tabs>
        <w:spacing w:before="0" w:after="60" w:line="276" w:lineRule="auto"/>
        <w:ind w:left="440"/>
        <w:jc w:val="left"/>
      </w:pPr>
      <w:hyperlink w:anchor="_Toc800209" w:history="1">
        <w:r>
          <w:rPr>
            <w:rFonts w:ascii="Arial" w:hAnsi="Arial" w:cs="Arial"/>
            <w:sz w:val="24"/>
            <w:szCs w:val="24"/>
            <w:lang w:val="es-GT"/>
          </w:rPr>
          <w:t xml:space="preserve">Parte 4. Matriz de consistencia</w:t>
        </w:r>
        <w:r>
          <w:rPr>
            <w:rFonts w:ascii="Arial" w:hAnsi="Arial" w:cs="Arial"/>
            <w:sz w:val="24"/>
            <w:szCs w:val="24"/>
            <w:lang w:val="es-GT"/>
          </w:rPr>
          <w:tab/>
        </w:r>
        <w:r>
          <w:rPr>
            <w:rFonts w:ascii="Arial" w:hAnsi="Arial" w:cs="Arial"/>
            <w:sz w:val="24"/>
            <w:szCs w:val="24"/>
            <w:lang w:val="es-GT"/>
          </w:rPr>
          <w:fldChar w:fldCharType="begin"/>
        </w:r>
        <w:r>
          <w:rPr>
            <w:rFonts w:ascii="Arial" w:hAnsi="Arial" w:cs="Arial"/>
            <w:sz w:val="24"/>
            <w:szCs w:val="24"/>
            <w:lang w:val="es-GT"/>
          </w:rPr>
          <w:instrText xml:space="preserve"> PAGEREF _Toc800209 \h </w:instrText>
        </w:r>
        <w:r>
          <w:rPr>
            <w:rFonts w:ascii="Arial" w:hAnsi="Arial" w:cs="Arial"/>
            <w:sz w:val="24"/>
            <w:szCs w:val="24"/>
            <w:lang w:val="es-GT"/>
          </w:rPr>
          <w:fldChar w:fldCharType="separate"/>
        </w:r>
        <w:r>
          <w:rPr>
            <w:rFonts w:ascii="Arial" w:hAnsi="Arial" w:cs="Arial"/>
            <w:sz w:val="24"/>
            <w:szCs w:val="24"/>
            <w:lang w:val="es-GT"/>
          </w:rPr>
          <w:t>7</w:t>
        </w:r>
        <w:r>
          <w:rPr>
            <w:rFonts w:ascii="Arial" w:hAnsi="Arial" w:cs="Arial"/>
            <w:sz w:val="24"/>
            <w:szCs w:val="24"/>
            <w:lang w:val="es-GT"/>
          </w:rPr>
          <w:fldChar w:fldCharType="end"/>
        </w:r>
      </w:hyperlink>
    </w:p>
    <w:p>
      <w:pPr>
        <w:tabs>
          <w:tab w:val="right" w:leader="dot" w:pos="8830"/>
        </w:tabs>
        <w:spacing w:before="0" w:after="60" w:line="276" w:lineRule="auto"/>
        <w:jc w:val="left"/>
      </w:pPr>
      <w:hyperlink w:anchor="_Toc800210" w:history="1">
        <w:r>
          <w:rPr>
            <w:rFonts w:ascii="Arial" w:hAnsi="Arial" w:cs="Arial"/>
            <w:b/>
            <w:sz w:val="24"/>
            <w:szCs w:val="24"/>
            <w:lang w:val="es-GT"/>
          </w:rPr>
          <w:t xml:space="preserve">CONCLUSIONES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_Toc800210 \h </w:instrText>
        </w:r>
        <w:r>
          <w:rPr>
            <w:rFonts w:ascii="Arial" w:hAnsi="Arial" w:cs="Arial"/>
            <w:b/>
            <w:sz w:val="24"/>
            <w:szCs w:val="24"/>
            <w:lang w:val="es-GT"/>
          </w:rPr>
          <w:fldChar w:fldCharType="separate"/>
        </w:r>
        <w:r>
          <w:rPr>
            <w:rFonts w:ascii="Arial" w:hAnsi="Arial" w:cs="Arial"/>
            <w:b/>
            <w:sz w:val="24"/>
            <w:szCs w:val="24"/>
            <w:lang w:val="es-GT"/>
          </w:rPr>
          <w:t>9</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1" w:history="1">
        <w:r>
          <w:rPr>
            <w:rFonts w:ascii="Arial" w:hAnsi="Arial" w:cs="Arial"/>
            <w:b/>
            <w:sz w:val="24"/>
            <w:szCs w:val="24"/>
            <w:lang w:val="es-GT"/>
          </w:rPr>
          <w:t xml:space="preserve">RECOMENDACIONES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_Toc800211 \h </w:instrText>
        </w:r>
        <w:r>
          <w:rPr>
            <w:rFonts w:ascii="Arial" w:hAnsi="Arial" w:cs="Arial"/>
            <w:b/>
            <w:sz w:val="24"/>
            <w:szCs w:val="24"/>
            <w:lang w:val="es-GT"/>
          </w:rPr>
          <w:fldChar w:fldCharType="separate"/>
        </w:r>
        <w:r>
          <w:rPr>
            <w:rFonts w:ascii="Arial" w:hAnsi="Arial" w:cs="Arial"/>
            <w:b/>
            <w:sz w:val="24"/>
            <w:szCs w:val="24"/>
            <w:lang w:val="es-GT"/>
          </w:rPr>
          <w:t>10</w:t>
        </w:r>
        <w:r>
          <w:rPr>
            <w:rFonts w:ascii="Arial" w:hAnsi="Arial" w:cs="Arial"/>
            <w:b/>
            <w:sz w:val="24"/>
            <w:szCs w:val="24"/>
            <w:lang w:val="es-GT"/>
          </w:rPr>
          <w:fldChar w:fldCharType="end"/>
        </w:r>
      </w:hyperlink>
    </w:p>
    <w:p>
      <w:pPr>
        <w:tabs>
          <w:tab w:val="right" w:leader="dot" w:pos="8830"/>
        </w:tabs>
        <w:spacing w:before="0" w:after="60" w:line="276" w:lineRule="auto"/>
        <w:jc w:val="left"/>
      </w:pPr>
      <w:hyperlink w:anchor="_Toc800212" w:history="1">
        <w:r>
          <w:rPr>
            <w:rFonts w:ascii="Arial" w:hAnsi="Arial" w:cs="Arial"/>
            <w:b/>
            <w:sz w:val="24"/>
            <w:szCs w:val="24"/>
            <w:lang w:val="es-GT"/>
          </w:rPr>
          <w:t xml:space="preserve">REFERENCIAS</w:t>
        </w:r>
        <w:r>
          <w:rPr>
            <w:rFonts w:ascii="Arial" w:hAnsi="Arial" w:cs="Arial"/>
            <w:b/>
            <w:sz w:val="24"/>
            <w:szCs w:val="24"/>
            <w:lang w:val="es-GT"/>
          </w:rPr>
          <w:tab/>
        </w:r>
        <w:r>
          <w:rPr>
            <w:rFonts w:ascii="Arial" w:hAnsi="Arial" w:cs="Arial"/>
            <w:b/>
            <w:sz w:val="24"/>
            <w:szCs w:val="24"/>
            <w:lang w:val="es-GT"/>
          </w:rPr>
          <w:fldChar w:fldCharType="begin"/>
        </w:r>
        <w:r>
          <w:rPr>
            <w:rFonts w:ascii="Arial" w:hAnsi="Arial" w:cs="Arial"/>
            <w:b/>
            <w:sz w:val="24"/>
            <w:szCs w:val="24"/>
            <w:lang w:val="es-GT"/>
          </w:rPr>
          <w:instrText xml:space="preserve"> PAGEREF _Toc800212 \h </w:instrText>
        </w:r>
        <w:r>
          <w:rPr>
            <w:rFonts w:ascii="Arial" w:hAnsi="Arial" w:cs="Arial"/>
            <w:b/>
            <w:sz w:val="24"/>
            <w:szCs w:val="24"/>
            <w:lang w:val="es-GT"/>
          </w:rPr>
          <w:fldChar w:fldCharType="separate"/>
        </w:r>
        <w:r>
          <w:rPr>
            <w:rFonts w:ascii="Arial" w:hAnsi="Arial" w:cs="Arial"/>
            <w:b/>
            <w:sz w:val="24"/>
            <w:szCs w:val="24"/>
            <w:lang w:val="es-GT"/>
          </w:rPr>
          <w:t>11</w:t>
        </w:r>
        <w:r>
          <w:rPr>
            <w:rFonts w:ascii="Arial" w:hAnsi="Arial" w:cs="Arial"/>
            <w:b/>
            <w:sz w:val="24"/>
            <w:szCs w:val="24"/>
            <w:lang w:val="es-GT"/>
          </w:rPr>
          <w:fldChar w:fldCharType="end"/>
        </w:r>
      </w:hyperlink>
      <w:r>
        <w:fldChar w:fldCharType="end"/>
      </w:r>
    </w:p>
    <w:p>
      <w:pPr>
        <w:sectPr>
          <w:pgSz w:w="12240" w:h="15840"/>
          <w:pgMar w:top="1417" w:right="1417" w:bottom="1417" w:left="1984" w:header="720" w:footer="720" w:gutter="0"/>
          <w:cols w:space="720"/>
          <w:docGrid w:linePitch="360"/>
        </w:sectPr>
      </w:pPr>
    </w:p>
    <w:p>
      <w:pPr>
        <w:keepNext/>
        <w:spacing w:before="240" w:after="0" w:line="360" w:lineRule="auto"/>
        <w:jc w:val="center"/>
        <w:outlineLvl w:val="0"/>
        <w:rPr>
          <w:rFonts w:ascii="Arial" w:hAnsi="Arial" w:cs="Arial"/>
          <w:lang w:val="es-GT"/>
        </w:rPr>
      </w:pPr>
      <w:bookmarkStart w:id="201" w:name="_Toc800201"/>
      <w:r>
        <w:rPr>
          <w:rFonts w:ascii="Arial" w:hAnsi="Arial" w:cs="Arial"/>
          <w:b/>
          <w:sz w:val="28"/>
          <w:szCs w:val="28"/>
          <w:lang w:val="es-GT"/>
        </w:rPr>
        <w:t xml:space="preserve">RESUMEN</w:t>
      </w:r>
      <w:bookmarkEnd w:id="201"/>
    </w:p>
    <w:p>
      <w:pPr>
        <w:spacing w:before="0" w:after="0" w:line="360" w:lineRule="auto"/>
        <w:ind w:firstLine="340"/>
        <w:jc w:val="both"/>
        <w:rPr>
          <w:rFonts w:ascii="Arial" w:hAnsi="Arial" w:cs="Arial"/>
          <w:lang w:val="es-GT"/>
        </w:rPr>
      </w:pPr>
      <w:r>
        <w:rPr>
          <w:rFonts w:ascii="Arial" w:hAnsi="Arial" w:cs="Arial"/>
          <w:sz w:val="24"/>
          <w:szCs w:val="24"/>
          <w:lang w:val="es-GT"/>
        </w:rPr>
        <w:t xml:space="preserve">Este taller construye el diseño de una investigación cuantitativa sobre el fraude interno en el desembolso de microcréditos digitales. A partir de un caso real ocurrido en una institución microfinanciera de Guatemala, en el que un promotor desvió aproximadamente Q100,000 y afectó a cerca de 100 clientes, se formulan la pregunta central, el objetivo general y los específicos, la hipótesis general y la hipótesis nula. Se definen y operacionalizan las dos variables principales, los controles de verificación al cliente y la discrepancia entre el monto autorizado y el monto recibido, y se sintetiza todo en una matriz de consistencia. El diseño propuesto es cuasi-experimental, con mediciones antes y después de implementar los controles en una agencia durante 2027.</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Palabras clave: </w:t>
      </w:r>
      <w:r>
        <w:rPr>
          <w:rFonts w:ascii="Arial" w:hAnsi="Arial" w:cs="Arial"/>
          <w:sz w:val="24"/>
          <w:szCs w:val="24"/>
          <w:lang w:val="es-GT"/>
        </w:rPr>
        <w:t xml:space="preserve">fraude interno, microcréditos digitales, controles de verificación, hipótesis, operacionalización</w:t>
      </w:r>
    </w:p>
    <w:p>
      <w:pPr>
        <w:keepNext/>
        <w:pageBreakBefore/>
        <w:spacing w:before="240" w:after="0" w:line="360" w:lineRule="auto"/>
        <w:jc w:val="center"/>
        <w:outlineLvl w:val="0"/>
        <w:rPr>
          <w:rFonts w:ascii="Arial" w:hAnsi="Arial" w:cs="Arial"/>
          <w:lang w:val="es-GT"/>
        </w:rPr>
      </w:pPr>
      <w:bookmarkStart w:id="202" w:name="_Toc800202"/>
      <w:r>
        <w:rPr>
          <w:rFonts w:ascii="Arial" w:hAnsi="Arial" w:cs="Arial"/>
          <w:b/>
          <w:sz w:val="28"/>
          <w:szCs w:val="28"/>
          <w:lang w:val="es-GT"/>
        </w:rPr>
        <w:t xml:space="preserve">INTRODUCCIÓN</w:t>
      </w:r>
      <w:bookmarkEnd w:id="202"/>
    </w:p>
    <w:p>
      <w:pPr>
        <w:spacing w:before="0" w:after="0" w:line="360" w:lineRule="auto"/>
        <w:ind w:firstLine="340"/>
        <w:jc w:val="both"/>
        <w:rPr>
          <w:rFonts w:ascii="Arial" w:hAnsi="Arial" w:cs="Arial"/>
          <w:lang w:val="es-GT"/>
        </w:rPr>
      </w:pPr>
      <w:r>
        <w:rPr>
          <w:rFonts w:ascii="Arial" w:hAnsi="Arial" w:cs="Arial"/>
          <w:sz w:val="24"/>
          <w:szCs w:val="24"/>
          <w:lang w:val="es-GT"/>
        </w:rPr>
        <w:t xml:space="preserve">El fraude cometido por personal de las propias organizaciones es una de las principales formas de pérdida económica. La Asociación de Examinadores de Fraude Certificados (ACFE, 2024) estima que una organización típica pierde alrededor del 5 % de sus ingresos anuales por fraude ocupacional, y que la apropiación indebida de activos aparece en el 89 % de los casos estudiados. En las microfinancieras, donde los clientes son personas con ingresos bajos y poca información financiera, el efecto de un fraude recae directamente sobre quienes menos pueden absorberlo.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Este documento desarrolla las tres tareas del taller para un caso concreto: la formulación de la hipótesis general y la hipótesis nula, la operacionalización de dos variables principales y la síntesis en la matriz de consistencia. La institución se mantiene en el anonimato, y los datos del caso fueron proporcionados por un supervisor de la entidad y están pendientes de formalizar con la autorización correspondiente.</w:t>
      </w:r>
    </w:p>
    <w:p>
      <w:pPr>
        <w:keepNext/>
        <w:pageBreakBefore/>
        <w:spacing w:before="240" w:after="0" w:line="360" w:lineRule="auto"/>
        <w:jc w:val="center"/>
        <w:outlineLvl w:val="0"/>
        <w:rPr>
          <w:rFonts w:ascii="Arial" w:hAnsi="Arial" w:cs="Arial"/>
          <w:lang w:val="es-GT"/>
        </w:rPr>
      </w:pPr>
      <w:bookmarkStart w:id="203" w:name="_Toc800203"/>
      <w:r>
        <w:rPr>
          <w:rFonts w:ascii="Arial" w:hAnsi="Arial" w:cs="Arial"/>
          <w:b/>
          <w:sz w:val="28"/>
          <w:szCs w:val="28"/>
          <w:lang w:val="es-GT"/>
        </w:rPr>
        <w:t xml:space="preserve">JUSTIFICACIÓN</w:t>
      </w:r>
      <w:bookmarkEnd w:id="203"/>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la perspectiva teórica, la literatura describe el fraude ocupacional y sus factores (ACFE, 2024; Cressey, 1953), pero en la búsqueda preliminar realizada no se localizó evidencia cuantitativa sobre el efecto de controles de verificación al cliente en el desembolso digital de microcréditos en Guatemala. El estudio aportaría datos sobre ese vacío.</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Desde la perspectiva metodológica, el diseño propone un procedimiento replicable: una verificación telefónica con guion fijo, aplicada a una muestra de desembolsos antes y después de implementar los controles, bajo un diseño cuasi-experimental (Campbell &amp; Stanley, 1966). Desde la perspectiva práctica, los resultados permitirían a la institución decidir con cifras qué controles conviene extender a otras agencias, para proteger a sus clientes y reducir pérdidas como la del caso que originó el estudio.</w:t>
      </w:r>
    </w:p>
    <w:p>
      <w:pPr>
        <w:keepNext/>
        <w:pageBreakBefore/>
        <w:spacing w:before="240" w:after="0" w:line="360" w:lineRule="auto"/>
        <w:jc w:val="center"/>
        <w:outlineLvl w:val="0"/>
        <w:rPr>
          <w:rFonts w:ascii="Arial" w:hAnsi="Arial" w:cs="Arial"/>
          <w:lang w:val="es-GT"/>
        </w:rPr>
      </w:pPr>
      <w:bookmarkStart w:id="204" w:name="_Toc800204"/>
      <w:r>
        <w:rPr>
          <w:rFonts w:ascii="Arial" w:hAnsi="Arial" w:cs="Arial"/>
          <w:b/>
          <w:sz w:val="28"/>
          <w:szCs w:val="28"/>
          <w:lang w:val="es-GT"/>
        </w:rPr>
        <w:t xml:space="preserve">MARCO TEÓRICO</w:t>
      </w:r>
      <w:bookmarkEnd w:id="204"/>
    </w:p>
    <w:p>
      <w:pPr>
        <w:spacing w:before="0" w:after="0" w:line="360" w:lineRule="auto"/>
        <w:ind w:firstLine="340"/>
        <w:jc w:val="both"/>
        <w:rPr>
          <w:rFonts w:ascii="Arial" w:hAnsi="Arial" w:cs="Arial"/>
          <w:lang w:val="es-GT"/>
        </w:rPr>
      </w:pPr>
      <w:r>
        <w:rPr>
          <w:rFonts w:ascii="Arial" w:hAnsi="Arial" w:cs="Arial"/>
          <w:sz w:val="24"/>
          <w:szCs w:val="24"/>
          <w:lang w:val="es-GT"/>
        </w:rPr>
        <w:t xml:space="preserve">El fraude interno se entiende como el uso del puesto para obtener un beneficio personal mediante el mal uso de los recursos de la organización (ACFE, 2024). Cressey (1953) explicó que este tipo de conducta ocurre cuando coinciden una presión financiera, una oportunidad percibida y una racionalización. Los controles de verificación al cliente actúan sobre la oportunidad: si el cliente conoce el monto que le autorizaron y puede contrastarlo con lo que recibe, el desvío se vuelve visible.</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ACFE (2024) reporta que las denuncias son el método de detección más frecuente, con el 43 % de los casos. Una llamada de verificación al cliente funciona, en ese sentido, como una denuncia solicitada de forma activa por la institución. En el plano técnico, el estándar OWASP ASVS 5.0.0 recoge requisitos afines, como los límites de la lógica de negocio (V2.3.2), la notificación al usuario ante cambios en sus datos de autenticación (V6.3.7) y el registro de los eventos de seguridad (V16.3.3) (OWASP Foundation, 2025).</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Para medir el efecto de los controles se propone un diseño cuasi-experimental con mediciones antes y después de la intervención. Este diseño compara una misma unidad en dos momentos y exige discutir las amenazas a la validez, como los cambios de conducta por saberse observado o la variación estacional (Campbell &amp; Stanley, 1966; Hernández-Sampieri &amp; Mendoza, 2018).</w:t>
      </w:r>
    </w:p>
    <w:p>
      <w:pPr>
        <w:keepNext/>
        <w:pageBreakBefore/>
        <w:spacing w:before="240" w:after="0" w:line="360" w:lineRule="auto"/>
        <w:jc w:val="center"/>
        <w:outlineLvl w:val="0"/>
        <w:rPr>
          <w:rFonts w:ascii="Arial" w:hAnsi="Arial" w:cs="Arial"/>
          <w:lang w:val="es-GT"/>
        </w:rPr>
      </w:pPr>
      <w:bookmarkStart w:id="205" w:name="_Toc800205"/>
      <w:r>
        <w:rPr>
          <w:rFonts w:ascii="Arial" w:hAnsi="Arial" w:cs="Arial"/>
          <w:b/>
          <w:sz w:val="28"/>
          <w:szCs w:val="28"/>
          <w:lang w:val="es-GT"/>
        </w:rPr>
        <w:t xml:space="preserve">CONTENIDO</w:t>
      </w:r>
      <w:bookmarkEnd w:id="205"/>
    </w:p>
    <w:p>
      <w:pPr>
        <w:keepNext/>
        <w:spacing w:before="120" w:after="0" w:line="360" w:lineRule="auto"/>
        <w:jc w:val="left"/>
        <w:outlineLvl w:val="1"/>
        <w:rPr>
          <w:rFonts w:ascii="Arial" w:hAnsi="Arial" w:cs="Arial"/>
          <w:lang w:val="es-GT"/>
        </w:rPr>
      </w:pPr>
      <w:bookmarkStart w:id="206" w:name="_Toc800206"/>
      <w:r>
        <w:rPr>
          <w:rFonts w:ascii="Arial" w:hAnsi="Arial" w:cs="Arial"/>
          <w:b/>
          <w:sz w:val="24"/>
          <w:szCs w:val="24"/>
          <w:lang w:val="es-GT"/>
        </w:rPr>
        <w:t xml:space="preserve">Parte 1. Desarrollo del tema de investigación</w:t>
      </w:r>
      <w:bookmarkEnd w:id="206"/>
    </w:p>
    <w:p>
      <w:pPr>
        <w:spacing w:before="0" w:after="0" w:line="360" w:lineRule="auto"/>
        <w:ind w:firstLine="340"/>
        <w:jc w:val="both"/>
        <w:rPr>
          <w:rFonts w:ascii="Arial" w:hAnsi="Arial" w:cs="Arial"/>
          <w:lang w:val="es-GT"/>
        </w:rPr>
      </w:pPr>
      <w:r>
        <w:rPr>
          <w:rFonts w:ascii="Arial" w:hAnsi="Arial" w:cs="Arial"/>
          <w:b/>
          <w:sz w:val="24"/>
          <w:szCs w:val="24"/>
          <w:lang w:val="es-GT"/>
        </w:rPr>
        <w:t xml:space="preserve">Título. </w:t>
      </w:r>
      <w:r>
        <w:rPr>
          <w:rFonts w:ascii="Arial" w:hAnsi="Arial" w:cs="Arial"/>
          <w:sz w:val="24"/>
          <w:szCs w:val="24"/>
          <w:lang w:val="es-GT"/>
        </w:rPr>
        <w:t xml:space="preserve">Análisis de las vulnerabilidades en los mecanismos de autenticación, autorización y validación del consentimiento y su relación con el riesgo de operaciones no consentidas en el desembolso de créditos mediante billeteras digitales en Guatemala</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La institución ofrece microcréditos digitales a vendedores de mercado, de hasta Q2,000 y plazos de hasta 30 días, que se desembolsan en una billetera digital. El promotor registra la solicitud, el gerente de agencia la autoriza y el cliente retira el efectivo en una caja con su número de teléfono, el monto y un PIN. Cada promotor atiende entre 100 y 120 clientes, y algunas cajas se encuentran lejos de los mercados.</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En el caso que origina el estudio, un promotor operó la solicitud desde el teléfono del cliente, retiró el monto completo autorizado y le informó una cantidad menor, de modo que utilizó la diferencia como capital propio. El fraude afectó a cerca de 100 clientes y alcanzó aproximadamente Q100,000. Los controles actuales (autorización del gerente, vínculo de la cuenta con un solo dispositivo y un reporte de transferencias de clientes a promotores) no detectan este esquema, que se descubrió por la supervisión y por las conversaciones con los clientes.</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Pregunta central. </w:t>
      </w:r>
      <w:r>
        <w:rPr>
          <w:rFonts w:ascii="Arial" w:hAnsi="Arial" w:cs="Arial"/>
          <w:sz w:val="24"/>
          <w:szCs w:val="24"/>
          <w:lang w:val="es-GT"/>
        </w:rPr>
        <w:t xml:space="preserve">¿En qué medida los controles de verificación al cliente reducen la tasa de discrepancia entre el monto autorizado y el monto recibido en los desembolsos digitales de una agencia de una institución microfinanciera de Guatemala durante 2027?</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Objetivo general. </w:t>
      </w:r>
      <w:r>
        <w:rPr>
          <w:rFonts w:ascii="Arial" w:hAnsi="Arial" w:cs="Arial"/>
          <w:sz w:val="24"/>
          <w:szCs w:val="24"/>
          <w:lang w:val="es-GT"/>
        </w:rPr>
        <w:t xml:space="preserve">Determinar el efecto de los controles de verificación al cliente sobre la tasa de discrepancia entre el monto autorizado y el monto recibido en los desembolsos digitales de una agencia de una institución microfinanciera de Guatemala durante 2027.</w:t>
      </w:r>
    </w:p>
    <w:p>
      <w:pPr>
        <w:spacing w:before="0" w:after="0" w:line="360" w:lineRule="auto"/>
        <w:jc w:val="left"/>
        <w:rPr>
          <w:rFonts w:ascii="Arial" w:hAnsi="Arial" w:cs="Arial"/>
          <w:lang w:val="es-GT"/>
        </w:rPr>
      </w:pPr>
      <w:r>
        <w:rPr>
          <w:rFonts w:ascii="Arial" w:hAnsi="Arial" w:cs="Arial"/>
          <w:b/>
          <w:sz w:val="24"/>
          <w:szCs w:val="24"/>
          <w:lang w:val="es-GT"/>
        </w:rPr>
        <w:t xml:space="preserve">Objetivos específicos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Establecer la línea base de la tasa de discrepancia entre el monto autorizado y el monto recibido antes de implementar los controles y compararla con la tasa que detectan los controles actuales.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Comparar el número de casos de discrepancia que identifican las reglas de alerta frente a los que identifica el reporte actual de transferencias de clientes a promotores.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Comparar la tasa de discrepancia antes y después de implementar los controles de verificación.</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Delimitación. </w:t>
      </w:r>
      <w:r>
        <w:rPr>
          <w:rFonts w:ascii="Arial" w:hAnsi="Arial" w:cs="Arial"/>
          <w:sz w:val="24"/>
          <w:szCs w:val="24"/>
          <w:lang w:val="es-GT"/>
        </w:rPr>
        <w:t xml:space="preserve">El estudio se limita a una agencia de la institución, a los desembolsos digitales de microcréditos entre el 15 de abril y el 15 de agosto de 2027 y a la discrepancia de montos como manifestación del fraude. No incluye otros esquemas, como los créditos a terceros ficticios, que se registran como casos aparte.</w:t>
      </w:r>
    </w:p>
    <w:p>
      <w:pPr>
        <w:keepNext/>
        <w:spacing w:before="120" w:after="0" w:line="360" w:lineRule="auto"/>
        <w:jc w:val="left"/>
        <w:outlineLvl w:val="1"/>
        <w:rPr>
          <w:rFonts w:ascii="Arial" w:hAnsi="Arial" w:cs="Arial"/>
          <w:lang w:val="es-GT"/>
        </w:rPr>
      </w:pPr>
      <w:bookmarkStart w:id="207" w:name="_Toc800207"/>
      <w:r>
        <w:rPr>
          <w:rFonts w:ascii="Arial" w:hAnsi="Arial" w:cs="Arial"/>
          <w:b/>
          <w:sz w:val="24"/>
          <w:szCs w:val="24"/>
          <w:lang w:val="es-GT"/>
        </w:rPr>
        <w:t xml:space="preserve">Parte 2. Hipótesis de investigación</w:t>
      </w:r>
      <w:bookmarkEnd w:id="207"/>
    </w:p>
    <w:p>
      <w:pPr>
        <w:spacing w:before="0" w:after="0" w:line="360" w:lineRule="auto"/>
        <w:ind w:firstLine="340"/>
        <w:jc w:val="both"/>
        <w:rPr>
          <w:rFonts w:ascii="Arial" w:hAnsi="Arial" w:cs="Arial"/>
          <w:lang w:val="es-GT"/>
        </w:rPr>
      </w:pPr>
      <w:r>
        <w:rPr>
          <w:rFonts w:ascii="Arial" w:hAnsi="Arial" w:cs="Arial"/>
          <w:sz w:val="24"/>
          <w:szCs w:val="24"/>
          <w:lang w:val="es-GT"/>
        </w:rPr>
        <w:t xml:space="preserve">El estudio es de alcance explicativo, por lo que requiere hipótesis. Se formulan la hipótesis de investigación, la nula, la alternativa y las estadísticas, además de una hipótesis específica por cada problema específico, de modo que problema, objetivo e hipótesis usen las mismas variables y términos (Hernández-Sampieri &amp; Mendoza, 2018).</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de investigación general (H1). </w:t>
      </w:r>
      <w:r>
        <w:rPr>
          <w:rFonts w:ascii="Arial" w:hAnsi="Arial" w:cs="Arial"/>
          <w:sz w:val="24"/>
          <w:szCs w:val="24"/>
          <w:lang w:val="es-GT"/>
        </w:rPr>
        <w:t xml:space="preserve">La implementación de los controles de verificación al cliente reduce la tasa de discrepancia entre el monto autorizado y el monto recibido en los desembolsos digitales de la agencia.</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nula (H0). </w:t>
      </w:r>
      <w:r>
        <w:rPr>
          <w:rFonts w:ascii="Arial" w:hAnsi="Arial" w:cs="Arial"/>
          <w:sz w:val="24"/>
          <w:szCs w:val="24"/>
          <w:lang w:val="es-GT"/>
        </w:rPr>
        <w:t xml:space="preserve">La implementación de los controles de verificación al cliente no reduce la tasa de discrepancia entre el monto autorizado y el monto recibido en los desembolsos digitales de la agencia.</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alternativa (Ha). </w:t>
      </w:r>
      <w:r>
        <w:rPr>
          <w:rFonts w:ascii="Arial" w:hAnsi="Arial" w:cs="Arial"/>
          <w:sz w:val="24"/>
          <w:szCs w:val="24"/>
          <w:lang w:val="es-GT"/>
        </w:rPr>
        <w:t xml:space="preserve">La tasa de discrepancia no disminuye porque los promotores migran a modalidades de fraude que los controles no cubren, como los créditos a terceros ficticios.</w:t>
      </w:r>
    </w:p>
    <w:p>
      <w:pPr>
        <w:spacing w:before="0" w:after="0" w:line="360" w:lineRule="auto"/>
        <w:ind w:firstLine="340"/>
        <w:jc w:val="both"/>
        <w:rPr>
          <w:rFonts w:ascii="Arial" w:hAnsi="Arial" w:cs="Arial"/>
          <w:lang w:val="es-GT"/>
        </w:rPr>
      </w:pPr>
      <w:r>
        <w:rPr>
          <w:rFonts w:ascii="Arial" w:hAnsi="Arial" w:cs="Arial"/>
          <w:b/>
          <w:sz w:val="24"/>
          <w:szCs w:val="24"/>
          <w:lang w:val="es-GT"/>
        </w:rPr>
        <w:t xml:space="preserve">Hipótesis estadísticas. </w:t>
      </w:r>
      <w:r>
        <w:rPr>
          <w:rFonts w:ascii="Arial" w:hAnsi="Arial" w:cs="Arial"/>
          <w:sz w:val="24"/>
          <w:szCs w:val="24"/>
          <w:lang w:val="es-GT"/>
        </w:rPr>
        <w:t xml:space="preserve">H0: P posterior ≥ P previa. H1: P posterior &lt; P previa, donde P es la proporción de desembolsos verificados con discrepancia, con un nivel de significancia de 0.05.</w:t>
      </w:r>
    </w:p>
    <w:p>
      <w:pPr>
        <w:spacing w:before="0" w:after="0" w:line="360" w:lineRule="auto"/>
        <w:jc w:val="left"/>
        <w:rPr>
          <w:rFonts w:ascii="Arial" w:hAnsi="Arial" w:cs="Arial"/>
          <w:lang w:val="es-GT"/>
        </w:rPr>
      </w:pPr>
      <w:r>
        <w:rPr>
          <w:rFonts w:ascii="Arial" w:hAnsi="Arial" w:cs="Arial"/>
          <w:b/>
          <w:sz w:val="24"/>
          <w:szCs w:val="24"/>
          <w:lang w:val="es-GT"/>
        </w:rPr>
        <w:t xml:space="preserve">Hipótesis específicas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La tasa de discrepancia de la línea base es mayor que la tasa de casos que detectan los controles actuales.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Las reglas de alerta identifican más casos de discrepancia que el reporte actual de transferencias de clientes a promotores.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La tasa de discrepancia de la fase posterior a la intervención es menor que la de la línea base.</w:t>
      </w:r>
    </w:p>
    <w:p>
      <w:pPr>
        <w:spacing w:before="0" w:after="0" w:line="360" w:lineRule="auto"/>
        <w:ind w:firstLine="340"/>
        <w:jc w:val="both"/>
        <w:rPr>
          <w:rFonts w:ascii="Arial" w:hAnsi="Arial" w:cs="Arial"/>
          <w:lang w:val="es-GT"/>
        </w:rPr>
      </w:pPr>
      <w:r>
        <w:rPr>
          <w:rFonts w:ascii="Arial" w:hAnsi="Arial" w:cs="Arial"/>
          <w:sz w:val="24"/>
          <w:szCs w:val="24"/>
          <w:lang w:val="es-GT"/>
        </w:rPr>
        <w:t xml:space="preserve">El contraste de la hipótesis general y de la tercera hipótesis específica se hará con una prueba z de dos proporciones. La primera hipótesis específica se contrastará con una prueba z de una proporción y la segunda, con la prueba de McNemar sobre los mismos desembolsos, porque cada desembolso puede ser señalado por ambos mecanismos.</w:t>
      </w:r>
    </w:p>
    <w:p>
      <w:pPr>
        <w:keepNext/>
        <w:spacing w:before="120" w:after="0" w:line="360" w:lineRule="auto"/>
        <w:jc w:val="left"/>
        <w:outlineLvl w:val="1"/>
        <w:rPr>
          <w:rFonts w:ascii="Arial" w:hAnsi="Arial" w:cs="Arial"/>
          <w:lang w:val="es-GT"/>
        </w:rPr>
      </w:pPr>
      <w:bookmarkStart w:id="208" w:name="_Toc800208"/>
      <w:r>
        <w:rPr>
          <w:rFonts w:ascii="Arial" w:hAnsi="Arial" w:cs="Arial"/>
          <w:b/>
          <w:sz w:val="24"/>
          <w:szCs w:val="24"/>
          <w:lang w:val="es-GT"/>
        </w:rPr>
        <w:t xml:space="preserve">Parte 3. Operacionalización de las variables</w:t>
      </w:r>
      <w:bookmarkEnd w:id="208"/>
    </w:p>
    <w:p>
      <w:pPr>
        <w:spacing w:before="0" w:after="0" w:line="360" w:lineRule="auto"/>
        <w:ind w:firstLine="340"/>
        <w:jc w:val="both"/>
        <w:rPr>
          <w:rFonts w:ascii="Arial" w:hAnsi="Arial" w:cs="Arial"/>
          <w:lang w:val="es-GT"/>
        </w:rPr>
      </w:pPr>
      <w:r>
        <w:rPr>
          <w:rFonts w:ascii="Arial" w:hAnsi="Arial" w:cs="Arial"/>
          <w:sz w:val="24"/>
          <w:szCs w:val="24"/>
          <w:lang w:val="es-GT"/>
        </w:rPr>
        <w:t xml:space="preserve">La Tabla 1 define conceptual y operacionalmente las dos variables principales, con sus dimensiones, indicadores, escalas e instrumentos. La variable independiente es el paquete de controles de verificación y la variable dependiente es la discrepancia entre el monto autorizado y el monto recibido. Como la discrepancia solo se conoce por lo que el cliente confirma, se triangula la llamada de verificación con el comprobante firmado y el registro del sistema.</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1</w:t>
      </w:r>
    </w:p>
    <w:p>
      <w:pPr>
        <w:keepNext/>
        <w:spacing w:before="0" w:after="60" w:line="240" w:lineRule="auto"/>
        <w:jc w:val="left"/>
        <w:rPr>
          <w:rFonts w:ascii="Arial" w:hAnsi="Arial" w:cs="Arial"/>
          <w:lang w:val="es-GT"/>
        </w:rPr>
      </w:pPr>
      <w:r>
        <w:rPr>
          <w:rFonts w:ascii="Arial" w:hAnsi="Arial" w:cs="Arial"/>
          <w:i/>
          <w:sz w:val="22"/>
          <w:szCs w:val="22"/>
          <w:lang w:val="es-GT"/>
        </w:rPr>
        <w:t xml:space="preserve">Operacionalización de las variables principales</w:t>
      </w:r>
    </w:p>
    <w:tbl>
      <w:tblPr>
        <w:tblW w:w="8839" w:type="dxa"/>
        <w:tblLayout w:type="fixed"/>
        <w:tblLook w:val="04A0" w:firstRow="1" w:lastRow="0" w:firstColumn="1" w:lastColumn="0" w:noHBand="0" w:noVBand="1"/>
      </w:tblPr>
      <w:tblGrid>
        <w:gridCol w:w="1000"/>
        <w:gridCol w:w="1400"/>
        <w:gridCol w:w="1800"/>
        <w:gridCol w:w="900"/>
        <w:gridCol w:w="2000"/>
        <w:gridCol w:w="1739"/>
      </w:tblGrid>
      <w:tr>
        <w:trPr>
          <w:cantSplit/>
          <w:tblHeader/>
        </w:trPr>
        <w:tc>
          <w:tcPr>
            <w:tcW w:w="10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Variable</w:t>
            </w:r>
          </w:p>
        </w:tc>
        <w:tc>
          <w:tcPr>
            <w:tcW w:w="14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Definición conceptual</w:t>
            </w:r>
          </w:p>
        </w:tc>
        <w:tc>
          <w:tcPr>
            <w:tcW w:w="18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Definición operacional</w:t>
            </w:r>
          </w:p>
        </w:tc>
        <w:tc>
          <w:tcPr>
            <w:tcW w:w="9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Dimensiones</w:t>
            </w:r>
          </w:p>
        </w:tc>
        <w:tc>
          <w:tcPr>
            <w:tcW w:w="20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Indicadores</w:t>
            </w:r>
          </w:p>
        </w:tc>
        <w:tc>
          <w:tcPr>
            <w:tcW w:w="173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Escala e instrumento</w:t>
            </w:r>
          </w:p>
        </w:tc>
      </w:tr>
      <w:tr>
        <w:trPr>
          <w:cantSplit/>
        </w:trPr>
        <w:tc>
          <w:tcPr>
            <w:tcW w:w="1000" w:type="dxa"/>
          </w:tcPr>
          <w:p>
            <w:pPr>
              <w:spacing w:before="40" w:after="40" w:line="240" w:lineRule="auto"/>
              <w:jc w:val="left"/>
              <w:rPr>
                <w:rFonts w:ascii="Arial" w:hAnsi="Arial" w:cs="Arial"/>
                <w:lang w:val="es-GT"/>
              </w:rPr>
            </w:pPr>
            <w:r>
              <w:rPr>
                <w:rFonts w:ascii="Arial" w:hAnsi="Arial" w:cs="Arial"/>
                <w:sz w:val="16"/>
                <w:szCs w:val="16"/>
                <w:lang w:val="es-GT"/>
              </w:rPr>
              <w:t xml:space="preserve">Controles de verificación al cliente (independiente)</w:t>
            </w:r>
          </w:p>
        </w:tc>
        <w:tc>
          <w:tcPr>
            <w:tcW w:w="1400" w:type="dxa"/>
          </w:tcPr>
          <w:p>
            <w:pPr>
              <w:spacing w:before="40" w:after="40" w:line="240" w:lineRule="auto"/>
              <w:jc w:val="left"/>
              <w:rPr>
                <w:rFonts w:ascii="Arial" w:hAnsi="Arial" w:cs="Arial"/>
                <w:lang w:val="es-GT"/>
              </w:rPr>
            </w:pPr>
            <w:r>
              <w:rPr>
                <w:rFonts w:ascii="Arial" w:hAnsi="Arial" w:cs="Arial"/>
                <w:sz w:val="16"/>
                <w:szCs w:val="16"/>
                <w:lang w:val="es-GT"/>
              </w:rPr>
              <w:t xml:space="preserve">Conjunto de medidas preventivas y detectivas que permiten comprobar que el cliente conoce y acepta las condiciones de su crédito y que recibe el monto autorizado.</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Presencia del paquete de cuatro controles en la agencia: comprobante firmado con monto autorizado, monto recibido y fecha de pago; llamada de verificación a una muestra de clientes; reglas de alerta de comportamiento; y mensaje a los clientes en el mercado.</w:t>
            </w:r>
          </w:p>
        </w:tc>
        <w:tc>
          <w:tcPr>
            <w:tcW w:w="900" w:type="dxa"/>
          </w:tcPr>
          <w:p>
            <w:pPr>
              <w:spacing w:before="40" w:after="40" w:line="240" w:lineRule="auto"/>
              <w:jc w:val="left"/>
              <w:rPr>
                <w:rFonts w:ascii="Arial" w:hAnsi="Arial" w:cs="Arial"/>
                <w:lang w:val="es-GT"/>
              </w:rPr>
            </w:pPr>
            <w:r>
              <w:rPr>
                <w:rFonts w:ascii="Arial" w:hAnsi="Arial" w:cs="Arial"/>
                <w:sz w:val="16"/>
                <w:szCs w:val="16"/>
                <w:lang w:val="es-GT"/>
              </w:rPr>
              <w:t xml:space="preserve">Informativa.</w:t>
            </w:r>
          </w:p>
          <w:p>
            <w:pPr>
              <w:spacing w:before="40" w:after="40" w:line="240" w:lineRule="auto"/>
              <w:jc w:val="left"/>
              <w:rPr>
                <w:rFonts w:ascii="Arial" w:hAnsi="Arial" w:cs="Arial"/>
                <w:lang w:val="es-GT"/>
              </w:rPr>
            </w:pPr>
            <w:r>
              <w:rPr>
                <w:rFonts w:ascii="Arial" w:hAnsi="Arial" w:cs="Arial"/>
                <w:sz w:val="16"/>
                <w:szCs w:val="16"/>
                <w:lang w:val="es-GT"/>
              </w:rPr>
              <w:t xml:space="preserve">Verificación.</w:t>
            </w:r>
          </w:p>
          <w:p>
            <w:pPr>
              <w:spacing w:before="40" w:after="40" w:line="240" w:lineRule="auto"/>
              <w:jc w:val="left"/>
              <w:rPr>
                <w:rFonts w:ascii="Arial" w:hAnsi="Arial" w:cs="Arial"/>
                <w:lang w:val="es-GT"/>
              </w:rPr>
            </w:pPr>
            <w:r>
              <w:rPr>
                <w:rFonts w:ascii="Arial" w:hAnsi="Arial" w:cs="Arial"/>
                <w:sz w:val="16"/>
                <w:szCs w:val="16"/>
                <w:lang w:val="es-GT"/>
              </w:rPr>
              <w:t xml:space="preserve">Detección.</w:t>
            </w:r>
          </w:p>
        </w:tc>
        <w:tc>
          <w:tcPr>
            <w:tcW w:w="2000" w:type="dxa"/>
          </w:tcPr>
          <w:p>
            <w:pPr>
              <w:spacing w:before="40" w:after="40" w:line="240" w:lineRule="auto"/>
              <w:jc w:val="left"/>
              <w:rPr>
                <w:rFonts w:ascii="Arial" w:hAnsi="Arial" w:cs="Arial"/>
                <w:lang w:val="es-GT"/>
              </w:rPr>
            </w:pPr>
            <w:r>
              <w:rPr>
                <w:rFonts w:ascii="Arial" w:hAnsi="Arial" w:cs="Arial"/>
                <w:sz w:val="16"/>
                <w:szCs w:val="16"/>
                <w:lang w:val="es-GT"/>
              </w:rPr>
              <w:t xml:space="preserve">Porcentaje de desembolsos con comprobante firmado.</w:t>
            </w:r>
          </w:p>
          <w:p>
            <w:pPr>
              <w:spacing w:before="40" w:after="40" w:line="240" w:lineRule="auto"/>
              <w:jc w:val="left"/>
              <w:rPr>
                <w:rFonts w:ascii="Arial" w:hAnsi="Arial" w:cs="Arial"/>
                <w:lang w:val="es-GT"/>
              </w:rPr>
            </w:pPr>
            <w:r>
              <w:rPr>
                <w:rFonts w:ascii="Arial" w:hAnsi="Arial" w:cs="Arial"/>
                <w:sz w:val="16"/>
                <w:szCs w:val="16"/>
                <w:lang w:val="es-GT"/>
              </w:rPr>
              <w:t xml:space="preserve">Porcentaje de llamadas completadas sobre las programadas.</w:t>
            </w:r>
          </w:p>
          <w:p>
            <w:pPr>
              <w:spacing w:before="40" w:after="40" w:line="240" w:lineRule="auto"/>
              <w:jc w:val="left"/>
              <w:rPr>
                <w:rFonts w:ascii="Arial" w:hAnsi="Arial" w:cs="Arial"/>
                <w:lang w:val="es-GT"/>
              </w:rPr>
            </w:pPr>
            <w:r>
              <w:rPr>
                <w:rFonts w:ascii="Arial" w:hAnsi="Arial" w:cs="Arial"/>
                <w:sz w:val="16"/>
                <w:szCs w:val="16"/>
                <w:lang w:val="es-GT"/>
              </w:rPr>
              <w:t xml:space="preserve">Número de alertas generadas y atendidas.</w:t>
            </w:r>
          </w:p>
        </w:tc>
        <w:tc>
          <w:tcPr>
            <w:tcW w:w="1739" w:type="dxa"/>
          </w:tcPr>
          <w:p>
            <w:pPr>
              <w:spacing w:before="40" w:after="40" w:line="240" w:lineRule="auto"/>
              <w:jc w:val="left"/>
              <w:rPr>
                <w:rFonts w:ascii="Arial" w:hAnsi="Arial" w:cs="Arial"/>
                <w:lang w:val="es-GT"/>
              </w:rPr>
            </w:pPr>
            <w:r>
              <w:rPr>
                <w:rFonts w:ascii="Arial" w:hAnsi="Arial" w:cs="Arial"/>
                <w:sz w:val="16"/>
                <w:szCs w:val="16"/>
                <w:lang w:val="es-GT"/>
              </w:rPr>
              <w:t xml:space="preserve">Razón (porcentaje).</w:t>
            </w:r>
          </w:p>
          <w:p>
            <w:pPr>
              <w:spacing w:before="40" w:after="40" w:line="240" w:lineRule="auto"/>
              <w:jc w:val="left"/>
              <w:rPr>
                <w:rFonts w:ascii="Arial" w:hAnsi="Arial" w:cs="Arial"/>
                <w:lang w:val="es-GT"/>
              </w:rPr>
            </w:pPr>
            <w:r>
              <w:rPr>
                <w:rFonts w:ascii="Arial" w:hAnsi="Arial" w:cs="Arial"/>
                <w:sz w:val="16"/>
                <w:szCs w:val="16"/>
                <w:lang w:val="es-GT"/>
              </w:rPr>
              <w:t xml:space="preserve">Lista de cotejo y bitácora de implementación.</w:t>
            </w:r>
          </w:p>
          <w:p>
            <w:pPr>
              <w:spacing w:before="40" w:after="40" w:line="240" w:lineRule="auto"/>
              <w:jc w:val="left"/>
              <w:rPr>
                <w:rFonts w:ascii="Arial" w:hAnsi="Arial" w:cs="Arial"/>
                <w:lang w:val="es-GT"/>
              </w:rPr>
            </w:pPr>
            <w:r>
              <w:rPr>
                <w:rFonts w:ascii="Arial" w:hAnsi="Arial" w:cs="Arial"/>
                <w:sz w:val="16"/>
                <w:szCs w:val="16"/>
                <w:lang w:val="es-GT"/>
              </w:rPr>
              <w:t xml:space="preserve">Nominal dicotómica para antes y después.</w:t>
            </w:r>
          </w:p>
        </w:tc>
      </w:tr>
      <w:tr>
        <w:trPr>
          <w:cantSplit/>
        </w:trPr>
        <w:tc>
          <w:tcPr>
            <w:tcW w:w="10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Discrepancia entre el monto autorizado y el monto recibido (dependiente)</w:t>
            </w:r>
          </w:p>
        </w:tc>
        <w:tc>
          <w:tcPr>
            <w:tcW w:w="14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Diferencia entre el monto que la institución autoriza al cliente y el monto que este recibe de forma efectiva, que indica una posible apropiación indebida de recursos.</w:t>
            </w:r>
          </w:p>
        </w:tc>
        <w:tc>
          <w:tcPr>
            <w:tcW w:w="18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Porcentaje de desembolsos verificados en los que el monto que el cliente declara haber recibido es menor que el monto autorizado en el sistema.</w:t>
            </w:r>
          </w:p>
        </w:tc>
        <w:tc>
          <w:tcPr>
            <w:tcW w:w="9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Frecuencia.</w:t>
            </w:r>
          </w:p>
          <w:p>
            <w:pPr>
              <w:spacing w:before="40" w:after="40" w:line="240" w:lineRule="auto"/>
              <w:jc w:val="left"/>
              <w:rPr>
                <w:rFonts w:ascii="Arial" w:hAnsi="Arial" w:cs="Arial"/>
                <w:lang w:val="es-GT"/>
              </w:rPr>
            </w:pPr>
            <w:r>
              <w:rPr>
                <w:rFonts w:ascii="Arial" w:hAnsi="Arial" w:cs="Arial"/>
                <w:sz w:val="16"/>
                <w:szCs w:val="16"/>
                <w:lang w:val="es-GT"/>
              </w:rPr>
              <w:t xml:space="preserve">Magnitud.</w:t>
            </w:r>
          </w:p>
          <w:p>
            <w:pPr>
              <w:spacing w:before="40" w:after="40" w:line="240" w:lineRule="auto"/>
              <w:jc w:val="left"/>
              <w:rPr>
                <w:rFonts w:ascii="Arial" w:hAnsi="Arial" w:cs="Arial"/>
                <w:lang w:val="es-GT"/>
              </w:rPr>
            </w:pPr>
            <w:r>
              <w:rPr>
                <w:rFonts w:ascii="Arial" w:hAnsi="Arial" w:cs="Arial"/>
                <w:sz w:val="16"/>
                <w:szCs w:val="16"/>
                <w:lang w:val="es-GT"/>
              </w:rPr>
              <w:t xml:space="preserve">Concentración.</w:t>
            </w:r>
          </w:p>
        </w:tc>
        <w:tc>
          <w:tcPr>
            <w:tcW w:w="20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Tasa de discrepancia: desembolsos con diferencia entre desembolsos verificados.</w:t>
            </w:r>
          </w:p>
          <w:p>
            <w:pPr>
              <w:spacing w:before="40" w:after="40" w:line="240" w:lineRule="auto"/>
              <w:jc w:val="left"/>
              <w:rPr>
                <w:rFonts w:ascii="Arial" w:hAnsi="Arial" w:cs="Arial"/>
                <w:lang w:val="es-GT"/>
              </w:rPr>
            </w:pPr>
            <w:r>
              <w:rPr>
                <w:rFonts w:ascii="Arial" w:hAnsi="Arial" w:cs="Arial"/>
                <w:sz w:val="16"/>
                <w:szCs w:val="16"/>
                <w:lang w:val="es-GT"/>
              </w:rPr>
              <w:t xml:space="preserve">Monto promedio de la diferencia, en quetzales.</w:t>
            </w:r>
          </w:p>
          <w:p>
            <w:pPr>
              <w:spacing w:before="40" w:after="40" w:line="240" w:lineRule="auto"/>
              <w:jc w:val="left"/>
              <w:rPr>
                <w:rFonts w:ascii="Arial" w:hAnsi="Arial" w:cs="Arial"/>
                <w:lang w:val="es-GT"/>
              </w:rPr>
            </w:pPr>
            <w:r>
              <w:rPr>
                <w:rFonts w:ascii="Arial" w:hAnsi="Arial" w:cs="Arial"/>
                <w:sz w:val="16"/>
                <w:szCs w:val="16"/>
                <w:lang w:val="es-GT"/>
              </w:rPr>
              <w:t xml:space="preserve">Casos de discrepancia por promotor.</w:t>
            </w:r>
          </w:p>
        </w:tc>
        <w:tc>
          <w:tcPr>
            <w:tcW w:w="173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Razón (porcentaje de 0 a 100).</w:t>
            </w:r>
          </w:p>
          <w:p>
            <w:pPr>
              <w:spacing w:before="40" w:after="40" w:line="240" w:lineRule="auto"/>
              <w:jc w:val="left"/>
              <w:rPr>
                <w:rFonts w:ascii="Arial" w:hAnsi="Arial" w:cs="Arial"/>
                <w:lang w:val="es-GT"/>
              </w:rPr>
            </w:pPr>
            <w:r>
              <w:rPr>
                <w:rFonts w:ascii="Arial" w:hAnsi="Arial" w:cs="Arial"/>
                <w:sz w:val="16"/>
                <w:szCs w:val="16"/>
                <w:lang w:val="es-GT"/>
              </w:rPr>
              <w:t xml:space="preserve">Razón (quetzales).</w:t>
            </w:r>
          </w:p>
          <w:p>
            <w:pPr>
              <w:spacing w:before="40" w:after="40" w:line="240" w:lineRule="auto"/>
              <w:jc w:val="left"/>
              <w:rPr>
                <w:rFonts w:ascii="Arial" w:hAnsi="Arial" w:cs="Arial"/>
                <w:lang w:val="es-GT"/>
              </w:rPr>
            </w:pPr>
            <w:r>
              <w:rPr>
                <w:rFonts w:ascii="Arial" w:hAnsi="Arial" w:cs="Arial"/>
                <w:sz w:val="16"/>
                <w:szCs w:val="16"/>
                <w:lang w:val="es-GT"/>
              </w:rPr>
              <w:t xml:space="preserve">Razón (casos). Instrumento: guion de llamada de verificación y reporte de desembolsos del sistema.</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con base en el caso de estudio y en Hernández-Sampieri y Mendoza (2018). Variables intervinientes que se controlarán: nivel de cumplimiento de los controles, estacionalidad de los desembolsos y rotación de promotores.</w:t>
      </w:r>
    </w:p>
    <w:p>
      <w:pPr>
        <w:keepNext/>
        <w:spacing w:before="120" w:after="0" w:line="360" w:lineRule="auto"/>
        <w:jc w:val="left"/>
        <w:outlineLvl w:val="1"/>
        <w:rPr>
          <w:rFonts w:ascii="Arial" w:hAnsi="Arial" w:cs="Arial"/>
          <w:lang w:val="es-GT"/>
        </w:rPr>
      </w:pPr>
      <w:bookmarkStart w:id="209" w:name="_Toc800209"/>
      <w:r>
        <w:rPr>
          <w:rFonts w:ascii="Arial" w:hAnsi="Arial" w:cs="Arial"/>
          <w:b/>
          <w:sz w:val="24"/>
          <w:szCs w:val="24"/>
          <w:lang w:val="es-GT"/>
        </w:rPr>
        <w:t xml:space="preserve">Parte 4. Matriz de consistencia</w:t>
      </w:r>
      <w:bookmarkEnd w:id="209"/>
    </w:p>
    <w:p>
      <w:pPr>
        <w:spacing w:before="0" w:after="0" w:line="360" w:lineRule="auto"/>
        <w:ind w:firstLine="340"/>
        <w:jc w:val="both"/>
        <w:rPr>
          <w:rFonts w:ascii="Arial" w:hAnsi="Arial" w:cs="Arial"/>
          <w:lang w:val="es-GT"/>
        </w:rPr>
      </w:pPr>
      <w:r>
        <w:rPr>
          <w:rFonts w:ascii="Arial" w:hAnsi="Arial" w:cs="Arial"/>
          <w:sz w:val="24"/>
          <w:szCs w:val="24"/>
          <w:lang w:val="es-GT"/>
        </w:rPr>
        <w:t xml:space="preserve">La Tabla 2 integra el problema, los objetivos, la hipótesis, las variables y la metodología para verificar la coherencia interna del diseño. Cada problema específico genera un objetivo específico y una hipótesis específica, y todos usan las mismas variables.</w:t>
      </w:r>
    </w:p>
    <w:p>
      <w:pPr>
        <w:keepNext/>
        <w:spacing w:before="200" w:after="0" w:line="240" w:lineRule="auto"/>
        <w:jc w:val="left"/>
        <w:rPr>
          <w:rFonts w:ascii="Arial" w:hAnsi="Arial" w:cs="Arial"/>
          <w:lang w:val="es-GT"/>
        </w:rPr>
      </w:pPr>
      <w:r>
        <w:rPr>
          <w:rFonts w:ascii="Arial" w:hAnsi="Arial" w:cs="Arial"/>
          <w:b/>
          <w:sz w:val="22"/>
          <w:szCs w:val="22"/>
          <w:lang w:val="es-GT"/>
        </w:rPr>
        <w:t xml:space="preserve">Tabla 2</w:t>
      </w:r>
    </w:p>
    <w:p>
      <w:pPr>
        <w:keepNext/>
        <w:spacing w:before="0" w:after="60" w:line="240" w:lineRule="auto"/>
        <w:jc w:val="left"/>
        <w:rPr>
          <w:rFonts w:ascii="Arial" w:hAnsi="Arial" w:cs="Arial"/>
          <w:lang w:val="es-GT"/>
        </w:rPr>
      </w:pPr>
      <w:r>
        <w:rPr>
          <w:rFonts w:ascii="Arial" w:hAnsi="Arial" w:cs="Arial"/>
          <w:i/>
          <w:sz w:val="22"/>
          <w:szCs w:val="22"/>
          <w:lang w:val="es-GT"/>
        </w:rPr>
        <w:t xml:space="preserve">Matriz de consistencia</w:t>
      </w:r>
    </w:p>
    <w:tbl>
      <w:tblPr>
        <w:tblW w:w="8839" w:type="dxa"/>
        <w:tblLayout w:type="fixed"/>
        <w:tblLook w:val="04A0" w:firstRow="1" w:lastRow="0" w:firstColumn="1" w:lastColumn="0" w:noHBand="0" w:noVBand="1"/>
      </w:tblPr>
      <w:tblGrid>
        <w:gridCol w:w="1800"/>
        <w:gridCol w:w="1800"/>
        <w:gridCol w:w="1700"/>
        <w:gridCol w:w="1700"/>
        <w:gridCol w:w="1839"/>
      </w:tblGrid>
      <w:tr>
        <w:trPr>
          <w:cantSplit/>
          <w:tblHeader/>
        </w:trPr>
        <w:tc>
          <w:tcPr>
            <w:tcW w:w="18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Problemas</w:t>
            </w:r>
          </w:p>
        </w:tc>
        <w:tc>
          <w:tcPr>
            <w:tcW w:w="18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Objetivos</w:t>
            </w:r>
          </w:p>
        </w:tc>
        <w:tc>
          <w:tcPr>
            <w:tcW w:w="17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Hipótesis</w:t>
            </w:r>
          </w:p>
        </w:tc>
        <w:tc>
          <w:tcPr>
            <w:tcW w:w="1700"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Variables</w:t>
            </w:r>
          </w:p>
        </w:tc>
        <w:tc>
          <w:tcPr>
            <w:tcW w:w="1839" w:type="dxa"/>
            <w:tcBorders>
              <w:top w:val="single" w:sz="6" w:space="0" w:color="000000"/>
              <w:bottom w:val="single" w:sz="6" w:space="0" w:color="000000"/>
            </w:tcBorders>
          </w:tcPr>
          <w:p>
            <w:pPr>
              <w:spacing w:before="40" w:after="40" w:line="240" w:lineRule="auto"/>
              <w:jc w:val="left"/>
              <w:rPr>
                <w:rFonts w:ascii="Arial" w:hAnsi="Arial" w:cs="Arial"/>
                <w:lang w:val="es-GT"/>
              </w:rPr>
            </w:pPr>
            <w:r>
              <w:rPr>
                <w:rFonts w:ascii="Arial" w:hAnsi="Arial" w:cs="Arial"/>
                <w:b/>
                <w:sz w:val="16"/>
                <w:szCs w:val="16"/>
                <w:lang w:val="es-GT"/>
              </w:rPr>
              <w:t xml:space="preserve">Metodología</w:t>
            </w:r>
          </w:p>
        </w:tc>
      </w:tr>
      <w:tr>
        <w:trPr>
          <w:cantSplit/>
        </w:trPr>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General: ¿En qué medida los controles de verificación al cliente reducen la tasa de discrepancia entre el monto autorizado y el monto recibido en los desembolsos digitales de una agencia durante 2027?</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General: determinar el efecto de los controles de verificación al cliente sobre la tasa de discrepancia entre el monto autorizado y el monto recibido en los desembolsos digitales de una agencia durante 2027.</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General: la implementación de los controles de verificación al cliente reduce la tasa de discrepancia.</w:t>
            </w:r>
          </w:p>
          <w:p>
            <w:pPr>
              <w:spacing w:before="40" w:after="40" w:line="240" w:lineRule="auto"/>
              <w:jc w:val="left"/>
              <w:rPr>
                <w:rFonts w:ascii="Arial" w:hAnsi="Arial" w:cs="Arial"/>
                <w:lang w:val="es-GT"/>
              </w:rPr>
            </w:pPr>
            <w:r>
              <w:rPr>
                <w:rFonts w:ascii="Arial" w:hAnsi="Arial" w:cs="Arial"/>
                <w:sz w:val="16"/>
                <w:szCs w:val="16"/>
                <w:lang w:val="es-GT"/>
              </w:rPr>
              <w:t xml:space="preserve">Nula: no la reduce.</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VI: controles de verificación al cliente.</w:t>
            </w:r>
          </w:p>
          <w:p>
            <w:pPr>
              <w:spacing w:before="40" w:after="40" w:line="240" w:lineRule="auto"/>
              <w:jc w:val="left"/>
              <w:rPr>
                <w:rFonts w:ascii="Arial" w:hAnsi="Arial" w:cs="Arial"/>
                <w:lang w:val="es-GT"/>
              </w:rPr>
            </w:pPr>
            <w:r>
              <w:rPr>
                <w:rFonts w:ascii="Arial" w:hAnsi="Arial" w:cs="Arial"/>
                <w:sz w:val="16"/>
                <w:szCs w:val="16"/>
                <w:lang w:val="es-GT"/>
              </w:rPr>
              <w:t xml:space="preserve">VD: discrepancia entre el monto autorizado y el monto recibido.</w:t>
            </w:r>
          </w:p>
          <w:p>
            <w:pPr>
              <w:spacing w:before="40" w:after="40" w:line="240" w:lineRule="auto"/>
              <w:jc w:val="left"/>
              <w:rPr>
                <w:rFonts w:ascii="Arial" w:hAnsi="Arial" w:cs="Arial"/>
                <w:lang w:val="es-GT"/>
              </w:rPr>
            </w:pPr>
            <w:r>
              <w:rPr>
                <w:rFonts w:ascii="Arial" w:hAnsi="Arial" w:cs="Arial"/>
                <w:sz w:val="16"/>
                <w:szCs w:val="16"/>
                <w:lang w:val="es-GT"/>
              </w:rPr>
              <w:t xml:space="preserve">Dimensiones: informativa, verificación y detección; frecuencia, magnitud y concentración.</w:t>
            </w:r>
          </w:p>
        </w:tc>
        <w:tc>
          <w:tcPr>
            <w:tcW w:w="1839" w:type="dxa"/>
          </w:tcPr>
          <w:p>
            <w:pPr>
              <w:spacing w:before="40" w:after="40" w:line="240" w:lineRule="auto"/>
              <w:jc w:val="left"/>
              <w:rPr>
                <w:rFonts w:ascii="Arial" w:hAnsi="Arial" w:cs="Arial"/>
                <w:lang w:val="es-GT"/>
              </w:rPr>
            </w:pPr>
            <w:r>
              <w:rPr>
                <w:rFonts w:ascii="Arial" w:hAnsi="Arial" w:cs="Arial"/>
                <w:sz w:val="16"/>
                <w:szCs w:val="16"/>
                <w:lang w:val="es-GT"/>
              </w:rPr>
              <w:t xml:space="preserve">Tipo y diseño: cuantitativo, explicativo y cuasi-experimental con medición antes y después.</w:t>
            </w:r>
          </w:p>
          <w:p>
            <w:pPr>
              <w:spacing w:before="40" w:after="40" w:line="240" w:lineRule="auto"/>
              <w:jc w:val="left"/>
              <w:rPr>
                <w:rFonts w:ascii="Arial" w:hAnsi="Arial" w:cs="Arial"/>
                <w:lang w:val="es-GT"/>
              </w:rPr>
            </w:pPr>
            <w:r>
              <w:rPr>
                <w:rFonts w:ascii="Arial" w:hAnsi="Arial" w:cs="Arial"/>
                <w:sz w:val="16"/>
                <w:szCs w:val="16"/>
                <w:lang w:val="es-GT"/>
              </w:rPr>
              <w:t xml:space="preserve">Muestra e instrumentos: muestra aleatoria estratificada por promotor, guion de llamada de verificación, comprobante y reporte del sistema. Prueba z de dos proporciones.</w:t>
            </w:r>
          </w:p>
        </w:tc>
      </w:tr>
      <w:tr>
        <w:trPr>
          <w:cantSplit/>
        </w:trPr>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1: ¿Cuál es la tasa de discrepancia antes de implementar los controles y qué parte detectan los controles actuales?</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1: establecer la línea base de la tasa de discrepancia y compararla con la tasa que detectan los controles actuales.</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Específica 1: la tasa de discrepancia de la línea base es mayor que la tasa que detectan los controles actuales.</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Indicadores: tasa de discrepancia y tasa de casos detectados por el reporte actual.</w:t>
            </w:r>
          </w:p>
        </w:tc>
        <w:tc>
          <w:tcPr>
            <w:tcW w:w="1839" w:type="dxa"/>
          </w:tcPr>
          <w:p>
            <w:pPr>
              <w:spacing w:before="40" w:after="40" w:line="240" w:lineRule="auto"/>
              <w:jc w:val="left"/>
              <w:rPr>
                <w:rFonts w:ascii="Arial" w:hAnsi="Arial" w:cs="Arial"/>
                <w:lang w:val="es-GT"/>
              </w:rPr>
            </w:pPr>
            <w:r>
              <w:rPr>
                <w:rFonts w:ascii="Arial" w:hAnsi="Arial" w:cs="Arial"/>
                <w:sz w:val="16"/>
                <w:szCs w:val="16"/>
                <w:lang w:val="es-GT"/>
              </w:rPr>
              <w:t xml:space="preserve">Llamadas de verificación a una muestra aleatoria durante la línea base; contraste con los casos del reporte actual. Prueba z de una proporción.</w:t>
            </w:r>
          </w:p>
        </w:tc>
      </w:tr>
      <w:tr>
        <w:trPr>
          <w:cantSplit/>
        </w:trPr>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2: ¿Cuántos casos de discrepancia identifican las reglas de alerta frente al reporte actual?</w:t>
            </w:r>
          </w:p>
        </w:tc>
        <w:tc>
          <w:tcPr>
            <w:tcW w:w="18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Específico 2: comparar el número de casos que identifican las reglas de alerta frente a los que identifica el reporte actual.</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Específica 2: las reglas de alerta identifican más casos que el reporte actual.</w:t>
            </w:r>
          </w:p>
        </w:tc>
        <w:tc>
          <w:tcPr>
            <w:tcW w:w="1700" w:type="dxa"/>
          </w:tcPr>
          <w:p>
            <w:pPr>
              <w:spacing w:before="40" w:after="40" w:line="240" w:lineRule="auto"/>
              <w:jc w:val="left"/>
              <w:rPr>
                <w:rFonts w:ascii="Arial" w:hAnsi="Arial" w:cs="Arial"/>
                <w:lang w:val="es-GT"/>
              </w:rPr>
            </w:pPr>
            <w:r>
              <w:rPr>
                <w:rFonts w:ascii="Arial" w:hAnsi="Arial" w:cs="Arial"/>
                <w:sz w:val="16"/>
                <w:szCs w:val="16"/>
                <w:lang w:val="es-GT"/>
              </w:rPr>
              <w:t xml:space="preserve">Indicadores: número de alertas generadas y atendidas; casos confirmados por cada mecanismo.</w:t>
            </w:r>
          </w:p>
        </w:tc>
        <w:tc>
          <w:tcPr>
            <w:tcW w:w="1839" w:type="dxa"/>
          </w:tcPr>
          <w:p>
            <w:pPr>
              <w:spacing w:before="40" w:after="40" w:line="240" w:lineRule="auto"/>
              <w:jc w:val="left"/>
              <w:rPr>
                <w:rFonts w:ascii="Arial" w:hAnsi="Arial" w:cs="Arial"/>
                <w:lang w:val="es-GT"/>
              </w:rPr>
            </w:pPr>
            <w:r>
              <w:rPr>
                <w:rFonts w:ascii="Arial" w:hAnsi="Arial" w:cs="Arial"/>
                <w:sz w:val="16"/>
                <w:szCs w:val="16"/>
                <w:lang w:val="es-GT"/>
              </w:rPr>
              <w:t xml:space="preserve">Aplicación de ambos mecanismos a los mismos desembolsos; confirmación por llamada. Prueba de McNemar.</w:t>
            </w:r>
          </w:p>
        </w:tc>
      </w:tr>
      <w:tr>
        <w:trPr>
          <w:cantSplit/>
        </w:trPr>
        <w:tc>
          <w:tcPr>
            <w:tcW w:w="18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Específico 3: ¿Cómo cambia la tasa de discrepancia después de implementar los controles?</w:t>
            </w:r>
          </w:p>
        </w:tc>
        <w:tc>
          <w:tcPr>
            <w:tcW w:w="18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Específico 3: comparar la tasa de discrepancia antes y después de implementar los controles.</w:t>
            </w:r>
          </w:p>
        </w:tc>
        <w:tc>
          <w:tcPr>
            <w:tcW w:w="17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Específica 3: la tasa de discrepancia posterior es menor que la de la línea base.</w:t>
            </w:r>
          </w:p>
        </w:tc>
        <w:tc>
          <w:tcPr>
            <w:tcW w:w="1700"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Indicadores: tasa de discrepancia, monto promedio de la diferencia y casos por promotor.</w:t>
            </w:r>
          </w:p>
        </w:tc>
        <w:tc>
          <w:tcPr>
            <w:tcW w:w="1839" w:type="dxa"/>
            <w:tcBorders>
              <w:bottom w:val="single" w:sz="6" w:space="0" w:color="000000"/>
            </w:tcBorders>
          </w:tcPr>
          <w:p>
            <w:pPr>
              <w:spacing w:before="40" w:after="40" w:line="240" w:lineRule="auto"/>
              <w:jc w:val="left"/>
              <w:rPr>
                <w:rFonts w:ascii="Arial" w:hAnsi="Arial" w:cs="Arial"/>
                <w:lang w:val="es-GT"/>
              </w:rPr>
            </w:pPr>
            <w:r>
              <w:rPr>
                <w:rFonts w:ascii="Arial" w:hAnsi="Arial" w:cs="Arial"/>
                <w:sz w:val="16"/>
                <w:szCs w:val="16"/>
                <w:lang w:val="es-GT"/>
              </w:rPr>
              <w:t xml:space="preserve">Misma verificación telefónica a una muestra aleatoria posterior; prueba z de dos proporciones y análisis de amenazas a la validez.</w:t>
            </w:r>
          </w:p>
        </w:tc>
      </w:tr>
    </w:tbl>
    <w:p>
      <w:pPr>
        <w:spacing w:before="60" w:after="200" w:line="240" w:lineRule="auto"/>
        <w:jc w:val="left"/>
        <w:rPr>
          <w:rFonts w:ascii="Arial" w:hAnsi="Arial" w:cs="Arial"/>
          <w:lang w:val="es-GT"/>
        </w:rPr>
      </w:pPr>
      <w:r>
        <w:rPr>
          <w:rFonts w:ascii="Arial" w:hAnsi="Arial" w:cs="Arial"/>
          <w:i/>
          <w:sz w:val="20"/>
          <w:szCs w:val="20"/>
          <w:lang w:val="es-GT"/>
        </w:rPr>
        <w:t xml:space="preserve">Nota. </w:t>
      </w:r>
      <w:r>
        <w:rPr>
          <w:rFonts w:ascii="Arial" w:hAnsi="Arial" w:cs="Arial"/>
          <w:sz w:val="20"/>
          <w:szCs w:val="20"/>
          <w:lang w:val="es-GT"/>
        </w:rPr>
        <w:t xml:space="preserve">Elaboración propia con la estructura estándar de la matriz de consistencia de la Semana 4. VI: variable independiente. VD: variable dependiente.</w:t>
      </w:r>
    </w:p>
    <w:p>
      <w:pPr>
        <w:keepNext/>
        <w:pageBreakBefore/>
        <w:spacing w:before="240" w:after="0" w:line="360" w:lineRule="auto"/>
        <w:jc w:val="center"/>
        <w:outlineLvl w:val="0"/>
        <w:rPr>
          <w:rFonts w:ascii="Arial" w:hAnsi="Arial" w:cs="Arial"/>
          <w:lang w:val="es-GT"/>
        </w:rPr>
      </w:pPr>
      <w:bookmarkStart w:id="210" w:name="_Toc800210"/>
      <w:r>
        <w:rPr>
          <w:rFonts w:ascii="Arial" w:hAnsi="Arial" w:cs="Arial"/>
          <w:b/>
          <w:sz w:val="28"/>
          <w:szCs w:val="28"/>
          <w:lang w:val="es-GT"/>
        </w:rPr>
        <w:t xml:space="preserve">CONCLUSIONES</w:t>
      </w:r>
      <w:bookmarkEnd w:id="210"/>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El caso se traduce en una pregunta medible: el efecto de un paquete de controles de verificación sobre la discrepancia entre el monto autorizado y el monto recibido por el cliente.</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Las dos variables principales quedan definidas de forma conceptual y operacional, con dimensiones, indicadores, instrumentos y escalas coherentes con un diseño cuasi-experimental.</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La matriz de consistencia muestra que cada objetivo específico tiene una subpregunta, un indicador y una técnica de análisis, y que cada problema específico tiene su hipótesis, con las mismas variables y términos que el problema general.</w:t>
      </w:r>
    </w:p>
    <w:p>
      <w:pPr>
        <w:keepNext/>
        <w:pageBreakBefore/>
        <w:spacing w:before="240" w:after="0" w:line="360" w:lineRule="auto"/>
        <w:jc w:val="center"/>
        <w:outlineLvl w:val="0"/>
        <w:rPr>
          <w:rFonts w:ascii="Arial" w:hAnsi="Arial" w:cs="Arial"/>
          <w:lang w:val="es-GT"/>
        </w:rPr>
      </w:pPr>
      <w:bookmarkStart w:id="211" w:name="_Toc800211"/>
      <w:r>
        <w:rPr>
          <w:rFonts w:ascii="Arial" w:hAnsi="Arial" w:cs="Arial"/>
          <w:b/>
          <w:sz w:val="28"/>
          <w:szCs w:val="28"/>
          <w:lang w:val="es-GT"/>
        </w:rPr>
        <w:t xml:space="preserve">RECOMENDACIONES</w:t>
      </w:r>
      <w:bookmarkEnd w:id="211"/>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1. </w:t>
      </w:r>
      <w:r>
        <w:rPr>
          <w:rFonts w:ascii="Arial" w:hAnsi="Arial" w:cs="Arial"/>
          <w:sz w:val="24"/>
          <w:szCs w:val="24"/>
          <w:lang w:val="es-GT"/>
        </w:rPr>
        <w:t xml:space="preserve">Formalizar y definir el estudio con la institución.</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2. </w:t>
      </w:r>
      <w:r>
        <w:rPr>
          <w:rFonts w:ascii="Arial" w:hAnsi="Arial" w:cs="Arial"/>
          <w:sz w:val="24"/>
          <w:szCs w:val="24"/>
          <w:lang w:val="es-GT"/>
        </w:rPr>
        <w:t xml:space="preserve">Calcular el tamaño de la muestra con el volumen mensual de desembolsos de la agencia, definir con la institución cómo se medirá la línea base, ya que no existen cifras previas de discrepancia, y fijar con ella la reducción mínima que se considerará relevante.</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3. </w:t>
      </w:r>
      <w:r>
        <w:rPr>
          <w:rFonts w:ascii="Arial" w:hAnsi="Arial" w:cs="Arial"/>
          <w:sz w:val="24"/>
          <w:szCs w:val="24"/>
          <w:lang w:val="es-GT"/>
        </w:rPr>
        <w:t xml:space="preserve">Documentar en el protocolo las amenazas a la validez, como el cambio de conducta de los promotores por saberse observados, y las medidas para reducirlas.</w:t>
      </w:r>
    </w:p>
    <w:p>
      <w:pPr>
        <w:spacing w:before="0" w:after="0" w:line="360" w:lineRule="auto"/>
        <w:ind w:left="720" w:hanging="360"/>
        <w:jc w:val="both"/>
        <w:rPr>
          <w:rFonts w:ascii="Arial" w:hAnsi="Arial" w:cs="Arial"/>
          <w:lang w:val="es-GT"/>
        </w:rPr>
      </w:pPr>
      <w:r>
        <w:rPr>
          <w:rFonts w:ascii="Arial" w:hAnsi="Arial" w:cs="Arial"/>
          <w:sz w:val="24"/>
          <w:szCs w:val="24"/>
          <w:lang w:val="es-GT"/>
        </w:rPr>
        <w:t xml:space="preserve">4. </w:t>
      </w:r>
      <w:r>
        <w:rPr>
          <w:rFonts w:ascii="Arial" w:hAnsi="Arial" w:cs="Arial"/>
          <w:sz w:val="24"/>
          <w:szCs w:val="24"/>
          <w:lang w:val="es-GT"/>
        </w:rPr>
        <w:t xml:space="preserve">Verificar con la institución los datos del caso que se citan en este documento, como el monto y el número de clientes afectados, antes de incluirlos en el protocolo.</w:t>
      </w:r>
    </w:p>
    <w:p>
      <w:pPr>
        <w:keepNext/>
        <w:pageBreakBefore/>
        <w:spacing w:before="240" w:after="0" w:line="360" w:lineRule="auto"/>
        <w:jc w:val="center"/>
        <w:outlineLvl w:val="0"/>
        <w:rPr>
          <w:rFonts w:ascii="Arial" w:hAnsi="Arial" w:cs="Arial"/>
          <w:lang w:val="es-GT"/>
        </w:rPr>
      </w:pPr>
      <w:bookmarkStart w:id="212" w:name="_Toc800212"/>
      <w:r>
        <w:rPr>
          <w:rFonts w:ascii="Arial" w:hAnsi="Arial" w:cs="Arial"/>
          <w:b/>
          <w:sz w:val="28"/>
          <w:szCs w:val="28"/>
          <w:lang w:val="es-GT"/>
        </w:rPr>
        <w:t xml:space="preserve">REFERENCIAS</w:t>
      </w:r>
      <w:bookmarkEnd w:id="212"/>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Association of Certified Fraud Examiners. (2024). </w:t>
      </w:r>
      <w:r>
        <w:rPr>
          <w:rFonts w:ascii="Arial" w:hAnsi="Arial" w:cs="Arial"/>
          <w:i/>
          <w:sz w:val="24"/>
          <w:szCs w:val="24"/>
          <w:lang w:val="es-GT"/>
        </w:rPr>
        <w:t xml:space="preserve">Occupational fraud 2024: A report to the nations</w:t>
      </w:r>
      <w:r>
        <w:rPr>
          <w:rFonts w:ascii="Arial" w:hAnsi="Arial" w:cs="Arial"/>
          <w:sz w:val="24"/>
          <w:szCs w:val="24"/>
          <w:lang w:val="es-GT"/>
        </w:rPr>
        <w:t xml:space="preserve">. https://www.ivey.uwo.ca/media/kjljj5cy/2024-report-to-the-nations.pdf</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Campbell, D. T., &amp; Stanley, J. C. (1966). </w:t>
      </w:r>
      <w:r>
        <w:rPr>
          <w:rFonts w:ascii="Arial" w:hAnsi="Arial" w:cs="Arial"/>
          <w:i/>
          <w:sz w:val="24"/>
          <w:szCs w:val="24"/>
          <w:lang w:val="es-GT"/>
        </w:rPr>
        <w:t xml:space="preserve">Experimental and quasi-experimental designs for research</w:t>
      </w:r>
      <w:r>
        <w:rPr>
          <w:rFonts w:ascii="Arial" w:hAnsi="Arial" w:cs="Arial"/>
          <w:sz w:val="24"/>
          <w:szCs w:val="24"/>
          <w:lang w:val="es-GT"/>
        </w:rPr>
        <w:t xml:space="preserve">. Rand McNally.</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Cressey, D. R. (1953). </w:t>
      </w:r>
      <w:r>
        <w:rPr>
          <w:rFonts w:ascii="Arial" w:hAnsi="Arial" w:cs="Arial"/>
          <w:i/>
          <w:sz w:val="24"/>
          <w:szCs w:val="24"/>
          <w:lang w:val="es-GT"/>
        </w:rPr>
        <w:t xml:space="preserve">Other people's money: A study in the social psychology of embezzlement</w:t>
      </w:r>
      <w:r>
        <w:rPr>
          <w:rFonts w:ascii="Arial" w:hAnsi="Arial" w:cs="Arial"/>
          <w:sz w:val="24"/>
          <w:szCs w:val="24"/>
          <w:lang w:val="es-GT"/>
        </w:rPr>
        <w:t xml:space="preserve">. Free Press.</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Hernández-Sampieri, R., &amp; Mendoza Torres, C. P. (2018). </w:t>
      </w:r>
      <w:r>
        <w:rPr>
          <w:rFonts w:ascii="Arial" w:hAnsi="Arial" w:cs="Arial"/>
          <w:i/>
          <w:sz w:val="24"/>
          <w:szCs w:val="24"/>
          <w:lang w:val="es-GT"/>
        </w:rPr>
        <w:t xml:space="preserve">Metodología de la investigación: Las rutas cuantitativa, cualitativa y mixta</w:t>
      </w:r>
      <w:r>
        <w:rPr>
          <w:rFonts w:ascii="Arial" w:hAnsi="Arial" w:cs="Arial"/>
          <w:sz w:val="24"/>
          <w:szCs w:val="24"/>
          <w:lang w:val="es-GT"/>
        </w:rPr>
        <w:t xml:space="preserve">. McGraw-Hill.</w:t>
      </w:r>
    </w:p>
    <w:p>
      <w:pPr>
        <w:spacing w:before="0" w:after="0" w:line="360" w:lineRule="auto"/>
        <w:ind w:left="720" w:hanging="720"/>
        <w:jc w:val="left"/>
        <w:rPr>
          <w:rFonts w:ascii="Arial" w:hAnsi="Arial" w:cs="Arial"/>
          <w:lang w:val="es-GT"/>
        </w:rPr>
      </w:pPr>
      <w:r>
        <w:rPr>
          <w:rFonts w:ascii="Arial" w:hAnsi="Arial" w:cs="Arial"/>
          <w:sz w:val="24"/>
          <w:szCs w:val="24"/>
          <w:lang w:val="es-GT"/>
        </w:rPr>
        <w:t xml:space="preserve">OWASP Foundation. (2025). </w:t>
      </w:r>
      <w:r>
        <w:rPr>
          <w:rFonts w:ascii="Arial" w:hAnsi="Arial" w:cs="Arial"/>
          <w:i/>
          <w:sz w:val="24"/>
          <w:szCs w:val="24"/>
          <w:lang w:val="es-GT"/>
        </w:rPr>
        <w:t xml:space="preserve">OWASP application security verification standard</w:t>
      </w:r>
      <w:r>
        <w:rPr>
          <w:rFonts w:ascii="Arial" w:hAnsi="Arial" w:cs="Arial"/>
          <w:sz w:val="24"/>
          <w:szCs w:val="24"/>
          <w:lang w:val="es-GT"/>
        </w:rPr>
        <w:t xml:space="preserve"> (Versión 5.0.0). https://owasp.org/www-project-application-security-verification-standard/</w:t>
      </w:r>
    </w:p>
    <w:sectPr>
      <w:headerReference w:type="default" r:id="rIdHdrDef"/>
      <w:pgSz w:w="12240" w:h="15840"/>
      <w:pgMar w:top="1417" w:right="1417" w:bottom="1417" w:left="1984"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headerDef.xml><?xml version="1.0" encoding="utf-8"?>
<w:hdr xmlns:w="http://schemas.openxmlformats.org/wordprocessingml/2006/main" xmlns:r="http://schemas.openxmlformats.org/officeDocument/2006/relationships">
  <w:p>
    <w:pPr>
      <w:jc w:val="right"/>
    </w:pPr>
    <w:r>
      <w:rPr>
        <w:rFonts w:ascii="Arial" w:hAnsi="Arial" w:cs="Arial"/>
        <w:sz w:val="24"/>
      </w:rPr>
      <w:fldChar w:fldCharType="begin"/>
    </w:r>
    <w:r>
      <w:rPr>
        <w:rFonts w:ascii="Arial" w:hAnsi="Arial" w:cs="Arial"/>
        <w:sz w:val="24"/>
      </w:rPr>
      <w:instrText xml:space="preserve"> PAGE </w:instrText>
    </w:r>
    <w:r>
      <w:rPr>
        <w:rFonts w:ascii="Arial" w:hAnsi="Arial" w:cs="Arial"/>
        <w:sz w:val="24"/>
      </w:rPr>
      <w:fldChar w:fldCharType="separate"/>
    </w:r>
    <w:r>
      <w:rPr>
        <w:rFonts w:ascii="Arial" w:hAnsi="Arial" w:cs="Arial"/>
        <w:sz w:val="24"/>
      </w:rPr>
      <w:t>1</w:t>
    </w:r>
    <w:r>
      <w:rPr>
        <w:rFonts w:ascii="Arial" w:hAnsi="Arial" w:cs="Arial"/>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82"/>
    <w:rsid w:val="00000A00"/>
    <w:rsid w:val="003643EF"/>
    <w:rsid w:val="009E5511"/>
    <w:rsid w:val="00C13482"/>
    <w:rsid w:val="00CC4DEE"/>
    <w:rsid w:val="00D14FAF"/>
    <w:rsid w:val="00E337AC"/>
    <w:rsid w:val="00F94E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7F58B"/>
  <w15:chartTrackingRefBased/>
  <w15:docId w15:val="{583A3E94-8909-4E7D-B1CD-361CDD911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482"/>
    <w:pPr>
      <w:spacing w:line="259" w:lineRule="auto"/>
    </w:pPr>
    <w:rPr>
      <w:kern w:val="0"/>
      <w:sz w:val="22"/>
      <w:szCs w:val="22"/>
      <w:lang w:val="es-PE"/>
      <w14:ligatures w14:val="none"/>
    </w:rPr>
  </w:style>
  <w:style w:type="paragraph" w:styleId="Ttulo1">
    <w:name w:val="heading 1"/>
    <w:basedOn w:val="Normal"/>
    <w:next w:val="Normal"/>
    <w:link w:val="Ttulo1Car"/>
    <w:uiPriority w:val="9"/>
    <w:qFormat/>
    <w:rsid w:val="00C13482"/>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Ttulo2">
    <w:name w:val="heading 2"/>
    <w:basedOn w:val="Normal"/>
    <w:next w:val="Normal"/>
    <w:link w:val="Ttulo2Car"/>
    <w:uiPriority w:val="9"/>
    <w:semiHidden/>
    <w:unhideWhenUsed/>
    <w:qFormat/>
    <w:rsid w:val="00C13482"/>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Ttulo3">
    <w:name w:val="heading 3"/>
    <w:basedOn w:val="Normal"/>
    <w:next w:val="Normal"/>
    <w:link w:val="Ttulo3Car"/>
    <w:uiPriority w:val="9"/>
    <w:semiHidden/>
    <w:unhideWhenUsed/>
    <w:qFormat/>
    <w:rsid w:val="00C13482"/>
    <w:pPr>
      <w:keepNext/>
      <w:keepLines/>
      <w:spacing w:before="160" w:after="80" w:line="278" w:lineRule="auto"/>
      <w:outlineLvl w:val="2"/>
    </w:pPr>
    <w:rPr>
      <w:rFonts w:eastAsiaTheme="majorEastAsia" w:cstheme="majorBidi"/>
      <w:color w:val="0F4761" w:themeColor="accent1" w:themeShade="BF"/>
      <w:kern w:val="2"/>
      <w:sz w:val="28"/>
      <w:szCs w:val="28"/>
      <w:lang w:val="en-US"/>
      <w14:ligatures w14:val="standardContextual"/>
    </w:rPr>
  </w:style>
  <w:style w:type="paragraph" w:styleId="Ttulo4">
    <w:name w:val="heading 4"/>
    <w:basedOn w:val="Normal"/>
    <w:next w:val="Normal"/>
    <w:link w:val="Ttulo4Car"/>
    <w:uiPriority w:val="9"/>
    <w:semiHidden/>
    <w:unhideWhenUsed/>
    <w:qFormat/>
    <w:rsid w:val="00C13482"/>
    <w:pPr>
      <w:keepNext/>
      <w:keepLines/>
      <w:spacing w:before="80" w:after="40" w:line="278" w:lineRule="auto"/>
      <w:outlineLvl w:val="3"/>
    </w:pPr>
    <w:rPr>
      <w:rFonts w:eastAsiaTheme="majorEastAsia" w:cstheme="majorBidi"/>
      <w:i/>
      <w:iCs/>
      <w:color w:val="0F4761" w:themeColor="accent1" w:themeShade="BF"/>
      <w:kern w:val="2"/>
      <w:sz w:val="24"/>
      <w:szCs w:val="24"/>
      <w:lang w:val="en-US"/>
      <w14:ligatures w14:val="standardContextual"/>
    </w:rPr>
  </w:style>
  <w:style w:type="paragraph" w:styleId="Ttulo5">
    <w:name w:val="heading 5"/>
    <w:basedOn w:val="Normal"/>
    <w:next w:val="Normal"/>
    <w:link w:val="Ttulo5Car"/>
    <w:uiPriority w:val="9"/>
    <w:semiHidden/>
    <w:unhideWhenUsed/>
    <w:qFormat/>
    <w:rsid w:val="00C13482"/>
    <w:pPr>
      <w:keepNext/>
      <w:keepLines/>
      <w:spacing w:before="80" w:after="40" w:line="278" w:lineRule="auto"/>
      <w:outlineLvl w:val="4"/>
    </w:pPr>
    <w:rPr>
      <w:rFonts w:eastAsiaTheme="majorEastAsia" w:cstheme="majorBidi"/>
      <w:color w:val="0F4761" w:themeColor="accent1" w:themeShade="BF"/>
      <w:kern w:val="2"/>
      <w:sz w:val="24"/>
      <w:szCs w:val="24"/>
      <w:lang w:val="en-US"/>
      <w14:ligatures w14:val="standardContextual"/>
    </w:rPr>
  </w:style>
  <w:style w:type="paragraph" w:styleId="Ttulo6">
    <w:name w:val="heading 6"/>
    <w:basedOn w:val="Normal"/>
    <w:next w:val="Normal"/>
    <w:link w:val="Ttulo6Car"/>
    <w:uiPriority w:val="9"/>
    <w:semiHidden/>
    <w:unhideWhenUsed/>
    <w:qFormat/>
    <w:rsid w:val="00C13482"/>
    <w:pPr>
      <w:keepNext/>
      <w:keepLines/>
      <w:spacing w:before="40" w:after="0" w:line="278" w:lineRule="auto"/>
      <w:outlineLvl w:val="5"/>
    </w:pPr>
    <w:rPr>
      <w:rFonts w:eastAsiaTheme="majorEastAsia" w:cstheme="majorBidi"/>
      <w:i/>
      <w:iCs/>
      <w:color w:val="595959" w:themeColor="text1" w:themeTint="A6"/>
      <w:kern w:val="2"/>
      <w:sz w:val="24"/>
      <w:szCs w:val="24"/>
      <w:lang w:val="en-US"/>
      <w14:ligatures w14:val="standardContextual"/>
    </w:rPr>
  </w:style>
  <w:style w:type="paragraph" w:styleId="Ttulo7">
    <w:name w:val="heading 7"/>
    <w:basedOn w:val="Normal"/>
    <w:next w:val="Normal"/>
    <w:link w:val="Ttulo7Car"/>
    <w:uiPriority w:val="9"/>
    <w:semiHidden/>
    <w:unhideWhenUsed/>
    <w:qFormat/>
    <w:rsid w:val="00C13482"/>
    <w:pPr>
      <w:keepNext/>
      <w:keepLines/>
      <w:spacing w:before="40" w:after="0" w:line="278" w:lineRule="auto"/>
      <w:outlineLvl w:val="6"/>
    </w:pPr>
    <w:rPr>
      <w:rFonts w:eastAsiaTheme="majorEastAsia" w:cstheme="majorBidi"/>
      <w:color w:val="595959" w:themeColor="text1" w:themeTint="A6"/>
      <w:kern w:val="2"/>
      <w:sz w:val="24"/>
      <w:szCs w:val="24"/>
      <w:lang w:val="en-US"/>
      <w14:ligatures w14:val="standardContextual"/>
    </w:rPr>
  </w:style>
  <w:style w:type="paragraph" w:styleId="Ttulo8">
    <w:name w:val="heading 8"/>
    <w:basedOn w:val="Normal"/>
    <w:next w:val="Normal"/>
    <w:link w:val="Ttulo8Car"/>
    <w:uiPriority w:val="9"/>
    <w:semiHidden/>
    <w:unhideWhenUsed/>
    <w:qFormat/>
    <w:rsid w:val="00C13482"/>
    <w:pPr>
      <w:keepNext/>
      <w:keepLines/>
      <w:spacing w:after="0" w:line="278" w:lineRule="auto"/>
      <w:outlineLvl w:val="7"/>
    </w:pPr>
    <w:rPr>
      <w:rFonts w:eastAsiaTheme="majorEastAsia" w:cstheme="majorBidi"/>
      <w:i/>
      <w:iCs/>
      <w:color w:val="272727" w:themeColor="text1" w:themeTint="D8"/>
      <w:kern w:val="2"/>
      <w:sz w:val="24"/>
      <w:szCs w:val="24"/>
      <w:lang w:val="en-US"/>
      <w14:ligatures w14:val="standardContextual"/>
    </w:rPr>
  </w:style>
  <w:style w:type="paragraph" w:styleId="Ttulo9">
    <w:name w:val="heading 9"/>
    <w:basedOn w:val="Normal"/>
    <w:next w:val="Normal"/>
    <w:link w:val="Ttulo9Car"/>
    <w:uiPriority w:val="9"/>
    <w:semiHidden/>
    <w:unhideWhenUsed/>
    <w:qFormat/>
    <w:rsid w:val="00C13482"/>
    <w:pPr>
      <w:keepNext/>
      <w:keepLines/>
      <w:spacing w:after="0" w:line="278" w:lineRule="auto"/>
      <w:outlineLvl w:val="8"/>
    </w:pPr>
    <w:rPr>
      <w:rFonts w:eastAsiaTheme="majorEastAsia" w:cstheme="majorBidi"/>
      <w:color w:val="272727" w:themeColor="text1" w:themeTint="D8"/>
      <w:kern w:val="2"/>
      <w:sz w:val="24"/>
      <w:szCs w:val="24"/>
      <w:lang w:val="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1348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134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1348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1348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1348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1348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1348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1348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13482"/>
    <w:rPr>
      <w:rFonts w:eastAsiaTheme="majorEastAsia" w:cstheme="majorBidi"/>
      <w:color w:val="272727" w:themeColor="text1" w:themeTint="D8"/>
    </w:rPr>
  </w:style>
  <w:style w:type="paragraph" w:styleId="Ttulo">
    <w:name w:val="Title"/>
    <w:basedOn w:val="Normal"/>
    <w:next w:val="Normal"/>
    <w:link w:val="TtuloCar"/>
    <w:uiPriority w:val="10"/>
    <w:qFormat/>
    <w:rsid w:val="00C13482"/>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tuloCar">
    <w:name w:val="Título Car"/>
    <w:basedOn w:val="Fuentedeprrafopredeter"/>
    <w:link w:val="Ttulo"/>
    <w:uiPriority w:val="10"/>
    <w:rsid w:val="00C134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13482"/>
    <w:pPr>
      <w:numPr>
        <w:ilvl w:val="1"/>
      </w:numPr>
      <w:spacing w:line="278" w:lineRule="auto"/>
    </w:pPr>
    <w:rPr>
      <w:rFonts w:eastAsiaTheme="majorEastAsia" w:cstheme="majorBidi"/>
      <w:color w:val="595959" w:themeColor="text1" w:themeTint="A6"/>
      <w:spacing w:val="15"/>
      <w:kern w:val="2"/>
      <w:sz w:val="28"/>
      <w:szCs w:val="28"/>
      <w:lang w:val="en-US"/>
      <w14:ligatures w14:val="standardContextual"/>
    </w:rPr>
  </w:style>
  <w:style w:type="character" w:customStyle="1" w:styleId="SubttuloCar">
    <w:name w:val="Subtítulo Car"/>
    <w:basedOn w:val="Fuentedeprrafopredeter"/>
    <w:link w:val="Subttulo"/>
    <w:uiPriority w:val="11"/>
    <w:rsid w:val="00C1348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13482"/>
    <w:pPr>
      <w:spacing w:before="160" w:line="278" w:lineRule="auto"/>
      <w:jc w:val="center"/>
    </w:pPr>
    <w:rPr>
      <w:i/>
      <w:iCs/>
      <w:color w:val="404040" w:themeColor="text1" w:themeTint="BF"/>
      <w:kern w:val="2"/>
      <w:sz w:val="24"/>
      <w:szCs w:val="24"/>
      <w:lang w:val="en-US"/>
      <w14:ligatures w14:val="standardContextual"/>
    </w:rPr>
  </w:style>
  <w:style w:type="character" w:customStyle="1" w:styleId="CitaCar">
    <w:name w:val="Cita Car"/>
    <w:basedOn w:val="Fuentedeprrafopredeter"/>
    <w:link w:val="Cita"/>
    <w:uiPriority w:val="29"/>
    <w:rsid w:val="00C13482"/>
    <w:rPr>
      <w:i/>
      <w:iCs/>
      <w:color w:val="404040" w:themeColor="text1" w:themeTint="BF"/>
    </w:rPr>
  </w:style>
  <w:style w:type="paragraph" w:styleId="Prrafodelista">
    <w:name w:val="List Paragraph"/>
    <w:basedOn w:val="Normal"/>
    <w:uiPriority w:val="34"/>
    <w:qFormat/>
    <w:rsid w:val="00C13482"/>
    <w:pPr>
      <w:spacing w:line="278" w:lineRule="auto"/>
      <w:ind w:left="720"/>
      <w:contextualSpacing/>
    </w:pPr>
    <w:rPr>
      <w:kern w:val="2"/>
      <w:sz w:val="24"/>
      <w:szCs w:val="24"/>
      <w:lang w:val="en-US"/>
      <w14:ligatures w14:val="standardContextual"/>
    </w:rPr>
  </w:style>
  <w:style w:type="character" w:styleId="nfasisintenso">
    <w:name w:val="Intense Emphasis"/>
    <w:basedOn w:val="Fuentedeprrafopredeter"/>
    <w:uiPriority w:val="21"/>
    <w:qFormat/>
    <w:rsid w:val="00C13482"/>
    <w:rPr>
      <w:i/>
      <w:iCs/>
      <w:color w:val="0F4761" w:themeColor="accent1" w:themeShade="BF"/>
    </w:rPr>
  </w:style>
  <w:style w:type="paragraph" w:styleId="Citadestacada">
    <w:name w:val="Intense Quote"/>
    <w:basedOn w:val="Normal"/>
    <w:next w:val="Normal"/>
    <w:link w:val="CitadestacadaCar"/>
    <w:uiPriority w:val="30"/>
    <w:qFormat/>
    <w:rsid w:val="00C13482"/>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US"/>
      <w14:ligatures w14:val="standardContextual"/>
    </w:rPr>
  </w:style>
  <w:style w:type="character" w:customStyle="1" w:styleId="CitadestacadaCar">
    <w:name w:val="Cita destacada Car"/>
    <w:basedOn w:val="Fuentedeprrafopredeter"/>
    <w:link w:val="Citadestacada"/>
    <w:uiPriority w:val="30"/>
    <w:rsid w:val="00C13482"/>
    <w:rPr>
      <w:i/>
      <w:iCs/>
      <w:color w:val="0F4761" w:themeColor="accent1" w:themeShade="BF"/>
    </w:rPr>
  </w:style>
  <w:style w:type="character" w:styleId="Referenciaintensa">
    <w:name w:val="Intense Reference"/>
    <w:basedOn w:val="Fuentedeprrafopredeter"/>
    <w:uiPriority w:val="32"/>
    <w:qFormat/>
    <w:rsid w:val="00C134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HdrDef" Type="http://schemas.openxmlformats.org/officeDocument/2006/relationships/header" Target="headerDef.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123</Words>
  <Characters>678</Characters>
  <Application>Microsoft Office Word</Application>
  <DocSecurity>0</DocSecurity>
  <Lines>5</Lines>
  <Paragraphs>1</Paragraphs>
  <ScaleCrop>false</ScaleCrop>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las vulnerabilidades en los mecanismos de autenticación, autorización y validación del consentimiento y su relación con el riesgo de operaciones no consentidas en el desembolso de créditos mediante billeteras digitales en Guatemala</dc:title>
  <dc:subject/>
  <dc:creator>Gerbert David García Loaiza</dc:creator>
  <cp:keywords/>
  <dc:description/>
  <cp:lastModifiedBy>Ericka Fuentes</cp:lastModifiedBy>
  <cp:revision>2</cp:revision>
  <dcterms:created xsi:type="dcterms:W3CDTF">2025-07-06T16:12:00Z</dcterms:created>
  <dcterms:modified xsi:type="dcterms:W3CDTF">2025-07-06T16:12:00Z</dcterms:modified>
</cp:coreProperties>
</file>