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val="0"/>
        </w:rPr>
        <w:t>Guatemala, octubre de 2026</w:t>
      </w:r>
    </w:p>
    <w:p>
      <w:r>
        <w:rPr>
          <w:b w:val="0"/>
          <w:i w:val="0"/>
        </w:rPr>
      </w:r>
    </w:p>
    <w:p>
      <w:pPr>
        <w:jc w:val="center"/>
      </w:pPr>
      <w:r>
        <w:rPr>
          <w:b/>
          <w:i w:val="0"/>
          <w:sz w:val="26"/>
        </w:rPr>
        <w:t>Nota informativa sobre la actividad académica</w:t>
      </w:r>
    </w:p>
    <w:p>
      <w:r>
        <w:rPr>
          <w:b w:val="0"/>
          <w:i w:val="0"/>
        </w:rPr>
      </w:r>
    </w:p>
    <w:p>
      <w:r>
        <w:rPr>
          <w:b/>
          <w:i w:val="0"/>
        </w:rPr>
        <w:t>¿Qué es esta actividad?</w:t>
      </w:r>
    </w:p>
    <w:p>
      <w:r>
        <w:rPr>
          <w:b w:val="0"/>
          <w:i w:val="0"/>
        </w:rPr>
        <w:t>Es el proyecto de investigación del curso Proyecto de Investigación I, de la Maestría en Seguridad Informática de la Universidad Mariano Gálvez de Guatemala (UMG). No es un trabajo libre: sigue el cronograma oficial del programa, que se adjunta a esta nota (documento “CRONOGRAMA Y FASES PI1-TG1”).</w:t>
      </w:r>
    </w:p>
    <w:p>
      <w:r>
        <w:rPr>
          <w:b/>
          <w:i w:val="0"/>
        </w:rPr>
        <w:t>¿Cómo se asignó?</w:t>
      </w:r>
    </w:p>
    <w:p>
      <w:r>
        <w:rPr>
          <w:b w:val="0"/>
          <w:i w:val="0"/>
        </w:rPr>
        <w:t>El catedrático definió esta investigación como la tarea final del trimestre. El cronograma oficial establece las siguientes fases:</w:t>
      </w:r>
    </w:p>
    <w:tbl>
      <w:tblPr>
        <w:tblStyle w:val="LightGrid-Accent1"/>
        <w:tblW w:type="auto" w:w="0"/>
        <w:tblLook w:firstColumn="1" w:firstRow="1" w:lastColumn="0" w:lastRow="0" w:noHBand="0" w:noVBand="1" w:val="04A0"/>
      </w:tblPr>
      <w:tblGrid>
        <w:gridCol w:w="4703"/>
        <w:gridCol w:w="4703"/>
      </w:tblGrid>
      <w:tr>
        <w:tc>
          <w:tcPr>
            <w:tcW w:type="dxa" w:w="4703"/>
          </w:tcPr>
          <w:p>
            <w:r>
              <w:t>Fase y fecha</w:t>
            </w:r>
          </w:p>
        </w:tc>
        <w:tc>
          <w:tcPr>
            <w:tcW w:type="dxa" w:w="4703"/>
          </w:tcPr>
          <w:p>
            <w:r>
              <w:t>Qué incluye</w:t>
            </w:r>
          </w:p>
        </w:tc>
      </w:tr>
      <w:tr>
        <w:tc>
          <w:tcPr>
            <w:tcW w:type="dxa" w:w="4703"/>
          </w:tcPr>
          <w:p>
            <w:r>
              <w:t>Fase 1-2 (sep.-dic. 2026)</w:t>
            </w:r>
          </w:p>
        </w:tc>
        <w:tc>
          <w:tcPr>
            <w:tcW w:type="dxa" w:w="4703"/>
          </w:tcPr>
          <w:p>
            <w:r>
              <w:t>Elaboración y corrección del protocolo de investigación (planteamiento, objetivos, marco teórico, metodología).</w:t>
            </w:r>
          </w:p>
        </w:tc>
      </w:tr>
      <w:tr>
        <w:tc>
          <w:tcPr>
            <w:tcW w:type="dxa" w:w="4703"/>
          </w:tcPr>
          <w:p>
            <w:r>
              <w:t>Fase 3-4 (mar.-may. 2027)</w:t>
            </w:r>
          </w:p>
        </w:tc>
        <w:tc>
          <w:tcPr>
            <w:tcW w:type="dxa" w:w="4703"/>
          </w:tcPr>
          <w:p>
            <w:r>
              <w:t>Revisión y aprobación formal del tema por la Dirección de Posgrados de la UMG.</w:t>
            </w:r>
          </w:p>
        </w:tc>
      </w:tr>
      <w:tr>
        <w:tc>
          <w:tcPr>
            <w:tcW w:type="dxa" w:w="4703"/>
          </w:tcPr>
          <w:p>
            <w:r>
              <w:t>Fase 5 (15 abr.-15 ago. 2027)</w:t>
            </w:r>
          </w:p>
        </w:tc>
        <w:tc>
          <w:tcPr>
            <w:tcW w:type="dxa" w:w="4703"/>
          </w:tcPr>
          <w:p>
            <w:r>
              <w:t>Desarrollo de la investigación: recolección y análisis de datos. Esta es la fase en la que se ubicaría la colaboración con la institución.</w:t>
            </w:r>
          </w:p>
        </w:tc>
      </w:tr>
      <w:tr>
        <w:tc>
          <w:tcPr>
            <w:tcW w:type="dxa" w:w="4703"/>
          </w:tcPr>
          <w:p>
            <w:r>
              <w:t>Fase 6-7 (ago. 2027)</w:t>
            </w:r>
          </w:p>
        </w:tc>
        <w:tc>
          <w:tcPr>
            <w:tcW w:type="dxa" w:w="4703"/>
          </w:tcPr>
          <w:p>
            <w:r>
              <w:t>Redacción del informe final y entrega a la Dirección de Posgrados.</w:t>
            </w:r>
          </w:p>
        </w:tc>
      </w:tr>
    </w:tbl>
    <w:p>
      <w:r>
        <w:rPr>
          <w:b w:val="0"/>
          <w:i w:val="0"/>
        </w:rPr>
      </w:r>
    </w:p>
    <w:p>
      <w:r>
        <w:rPr>
          <w:b/>
          <w:i w:val="0"/>
        </w:rPr>
        <w:t>¿En qué consiste la investigación?</w:t>
      </w:r>
    </w:p>
    <w:p>
      <w:r>
        <w:rPr>
          <w:b w:val="0"/>
          <w:i w:val="0"/>
        </w:rPr>
        <w:t>El estudio analiza si ciertos controles de verificación con el cliente, aplicados en el proceso de desembolso de créditos por aplicación móvil, reducen los casos en que un cliente recibe un monto distinto al que le fue autorizado. Se compararía el resultado antes y después de aplicar esos controles, en una agencia, durante la Fase 5 del cronograma (abril a agosto de 2027).</w:t>
      </w:r>
    </w:p>
    <w:p>
      <w:r>
        <w:rPr>
          <w:b/>
          <w:i w:val="0"/>
        </w:rPr>
        <w:t>¿Qué se necesita de la institución?</w:t>
      </w:r>
    </w:p>
    <w:p>
      <w:r>
        <w:rPr>
          <w:b w:val="0"/>
          <w:i w:val="0"/>
        </w:rPr>
        <w:t>Una explicación general de cómo funciona el proceso de desembolso y de los objetivos del producto. No se solicita acceso al código, a la plataforma, a bases de datos ni a información personal de clientes, promotores o personal.</w:t>
      </w:r>
    </w:p>
    <w:p>
      <w:r>
        <w:rPr>
          <w:b/>
          <w:i w:val="0"/>
        </w:rPr>
        <w:t>Confidencialidad</w:t>
      </w:r>
    </w:p>
    <w:p>
      <w:r>
        <w:rPr>
          <w:b w:val="0"/>
          <w:i w:val="0"/>
        </w:rPr>
        <w:t>El nombre de la institución, de sus clientes, de sus promotores y de su personal no se menciona en ningún documento académico de este proyecto. En los reportes se hace referencia únicamente a “una institución microfinanciera de Guatemala”.</w:t>
      </w:r>
    </w:p>
    <w:p>
      <w:r>
        <w:rPr>
          <w:b w:val="0"/>
          <w:i w:val="0"/>
        </w:rPr>
      </w:r>
    </w:p>
    <w:p>
      <w:r>
        <w:rPr>
          <w:b w:val="0"/>
          <w:i/>
        </w:rPr>
        <w:t>Se adjunta el documento oficial del cronograma del curso para referencia.</w:t>
      </w:r>
    </w:p>
    <w:p>
      <w:r>
        <w:rPr>
          <w:b w:val="0"/>
          <w:i w:val="0"/>
        </w:rPr>
      </w:r>
    </w:p>
    <w:p>
      <w:r>
        <w:rPr>
          <w:b/>
          <w:i w:val="0"/>
        </w:rPr>
        <w:t>Equipo:</w:t>
      </w:r>
    </w:p>
    <w:p>
      <w:r>
        <w:rPr>
          <w:b w:val="0"/>
          <w:i w:val="0"/>
        </w:rPr>
        <w:t>Suruy Quiróa, Anderson Lionel</w:t>
      </w:r>
    </w:p>
    <w:p>
      <w:r>
        <w:rPr>
          <w:b w:val="0"/>
          <w:i w:val="0"/>
        </w:rPr>
        <w:t>Aldana Estrada, José David</w:t>
      </w:r>
    </w:p>
    <w:p>
      <w:r>
        <w:rPr>
          <w:b w:val="0"/>
          <w:i w:val="0"/>
        </w:rPr>
        <w:t>Alvarez Barrientos, Andersson Saúl</w:t>
      </w:r>
    </w:p>
    <w:p>
      <w:r>
        <w:rPr>
          <w:b w:val="0"/>
          <w:i w:val="0"/>
        </w:rPr>
        <w:t>García Loaiza, Gerbert David</w:t>
      </w:r>
    </w:p>
    <w:p>
      <w:r>
        <w:rPr>
          <w:b w:val="0"/>
          <w:i w:val="0"/>
        </w:rPr>
      </w:r>
    </w:p>
    <w:p>
      <w:r>
        <w:rPr>
          <w:b w:val="0"/>
          <w:i/>
          <w:sz w:val="20"/>
        </w:rPr>
        <w:t>Maestría en Seguridad Informática, Universidad Mariano Gálvez de Guatemala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